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黑体" w:eastAsia="黑体"/>
          <w:sz w:val="32"/>
          <w:szCs w:val="32"/>
        </w:rPr>
      </w:pPr>
      <w:r>
        <w:rPr>
          <w:rFonts w:hint="eastAsia" w:ascii="黑体" w:hAnsi="黑体" w:eastAsia="黑体"/>
          <w:sz w:val="32"/>
          <w:szCs w:val="32"/>
        </w:rPr>
        <w:t>附件1</w:t>
      </w:r>
    </w:p>
    <w:p>
      <w:pPr>
        <w:spacing w:line="500" w:lineRule="exact"/>
        <w:rPr>
          <w:rFonts w:ascii="黑体" w:hAnsi="黑体" w:eastAsia="黑体"/>
          <w:sz w:val="32"/>
          <w:szCs w:val="32"/>
        </w:rPr>
      </w:pPr>
    </w:p>
    <w:p>
      <w:pPr>
        <w:spacing w:line="500" w:lineRule="exact"/>
        <w:ind w:firstLine="600" w:firstLineChars="150"/>
        <w:rPr>
          <w:rFonts w:ascii="仿宋_GB2312" w:hAnsi="宋体" w:eastAsia="仿宋_GB2312" w:cs="Times New Roman"/>
          <w:sz w:val="32"/>
          <w:szCs w:val="32"/>
        </w:rPr>
      </w:pPr>
      <w:r>
        <w:rPr>
          <w:rFonts w:hint="eastAsia" w:ascii="方正小标宋简体" w:hAnsi="宋体" w:eastAsia="方正小标宋简体" w:cs="宋体"/>
          <w:bCs/>
          <w:color w:val="000000"/>
          <w:kern w:val="0"/>
          <w:sz w:val="40"/>
        </w:rPr>
        <w:t>生命科学学院研究生国家奖学金评审实施细则</w:t>
      </w:r>
    </w:p>
    <w:p>
      <w:pPr>
        <w:widowControl/>
        <w:spacing w:after="90" w:line="384" w:lineRule="auto"/>
        <w:ind w:firstLine="640" w:firstLineChars="200"/>
        <w:rPr>
          <w:rFonts w:ascii="楷体_GB2312" w:hAnsi="宋体" w:eastAsia="楷体_GB2312" w:cs="Times New Roman"/>
          <w:sz w:val="32"/>
          <w:szCs w:val="32"/>
        </w:rPr>
      </w:pPr>
      <w:r>
        <w:rPr>
          <w:rFonts w:hint="eastAsia" w:ascii="仿宋_GB2312" w:hAnsi="宋体" w:eastAsia="仿宋_GB2312" w:cs="Times New Roman"/>
          <w:sz w:val="32"/>
          <w:szCs w:val="32"/>
        </w:rPr>
        <w:t xml:space="preserve">             </w:t>
      </w:r>
      <w:r>
        <w:rPr>
          <w:rFonts w:hint="eastAsia" w:ascii="楷体_GB2312" w:hAnsi="宋体" w:eastAsia="楷体_GB2312" w:cs="Times New Roman"/>
          <w:sz w:val="32"/>
          <w:szCs w:val="32"/>
        </w:rPr>
        <w:t xml:space="preserve">    </w:t>
      </w:r>
    </w:p>
    <w:p>
      <w:pPr>
        <w:widowControl/>
        <w:spacing w:after="90" w:line="384" w:lineRule="auto"/>
        <w:ind w:firstLine="640" w:firstLineChars="200"/>
        <w:rPr>
          <w:rFonts w:ascii="楷体_GB2312" w:hAnsi="宋体" w:eastAsia="楷体_GB2312" w:cs="宋体"/>
          <w:color w:val="000000"/>
          <w:kern w:val="0"/>
          <w:sz w:val="32"/>
          <w:szCs w:val="18"/>
        </w:rPr>
      </w:pPr>
      <w:r>
        <w:rPr>
          <w:rFonts w:hint="eastAsia" w:ascii="仿宋_GB2312" w:hAnsi="宋体" w:eastAsia="仿宋_GB2312" w:cs="Times New Roman"/>
          <w:sz w:val="32"/>
          <w:szCs w:val="32"/>
        </w:rPr>
        <w:t>为进一步激励研究生认真学习、勤于科研，提高研究生培养质量，</w:t>
      </w:r>
      <w:r>
        <w:rPr>
          <w:rFonts w:hint="eastAsia" w:ascii="仿宋_GB2312" w:hAnsi="宋体" w:eastAsia="仿宋_GB2312" w:cs="宋体"/>
          <w:kern w:val="0"/>
          <w:sz w:val="32"/>
          <w:szCs w:val="32"/>
        </w:rPr>
        <w:t>根据《西北农林科技大学研究生国家奖学金评审办法》（校学发〔2014〕235号）精神，结合学院实际，制定本细则。</w:t>
      </w:r>
    </w:p>
    <w:p>
      <w:pPr>
        <w:ind w:firstLine="640" w:firstLineChars="200"/>
        <w:outlineLvl w:val="0"/>
        <w:rPr>
          <w:rFonts w:ascii="黑体" w:hAnsi="黑体" w:eastAsia="黑体" w:cs="宋体"/>
          <w:kern w:val="0"/>
          <w:sz w:val="32"/>
          <w:szCs w:val="32"/>
        </w:rPr>
      </w:pPr>
      <w:r>
        <w:rPr>
          <w:rFonts w:hint="eastAsia" w:ascii="黑体" w:hAnsi="黑体" w:eastAsia="黑体" w:cs="宋体"/>
          <w:kern w:val="0"/>
          <w:sz w:val="32"/>
          <w:szCs w:val="32"/>
        </w:rPr>
        <w:t>一、评审工作领导小组</w:t>
      </w:r>
    </w:p>
    <w:p>
      <w:pPr>
        <w:ind w:firstLine="640" w:firstLineChars="200"/>
        <w:rPr>
          <w:rFonts w:ascii="仿宋_GB2312" w:eastAsia="仿宋_GB2312"/>
          <w:sz w:val="32"/>
          <w:szCs w:val="32"/>
        </w:rPr>
      </w:pPr>
      <w:r>
        <w:rPr>
          <w:rFonts w:hint="eastAsia" w:ascii="仿宋_GB2312" w:eastAsia="仿宋_GB2312"/>
          <w:sz w:val="32"/>
          <w:szCs w:val="32"/>
        </w:rPr>
        <w:t>学院成立评审工作领导小组，负责制定研究生国家奖学金评审</w:t>
      </w:r>
      <w:r>
        <w:rPr>
          <w:rFonts w:hint="eastAsia" w:ascii="仿宋_GB2312" w:hAnsi="宋体" w:eastAsia="仿宋_GB2312"/>
          <w:sz w:val="32"/>
          <w:szCs w:val="32"/>
        </w:rPr>
        <w:t>实施细则，做好</w:t>
      </w:r>
      <w:r>
        <w:rPr>
          <w:rFonts w:hint="eastAsia" w:ascii="仿宋_GB2312" w:eastAsia="仿宋_GB2312"/>
          <w:sz w:val="32"/>
          <w:szCs w:val="32"/>
        </w:rPr>
        <w:t>研究生国家奖学金的申请组织和评审工作。</w:t>
      </w:r>
    </w:p>
    <w:p>
      <w:pPr>
        <w:ind w:firstLine="640" w:firstLineChars="200"/>
        <w:rPr>
          <w:rFonts w:ascii="仿宋_GB2312" w:eastAsia="仿宋_GB2312"/>
          <w:sz w:val="32"/>
          <w:szCs w:val="32"/>
        </w:rPr>
      </w:pPr>
      <w:r>
        <w:rPr>
          <w:rFonts w:hint="eastAsia" w:ascii="仿宋_GB2312" w:eastAsia="仿宋_GB2312"/>
          <w:sz w:val="32"/>
          <w:szCs w:val="32"/>
        </w:rPr>
        <w:t>组  长：化小峰</w:t>
      </w:r>
    </w:p>
    <w:p>
      <w:pPr>
        <w:ind w:firstLine="640" w:firstLineChars="200"/>
        <w:rPr>
          <w:rFonts w:ascii="仿宋_GB2312" w:hAnsi="宋体" w:eastAsia="仿宋_GB2312"/>
          <w:sz w:val="32"/>
          <w:szCs w:val="32"/>
        </w:rPr>
      </w:pPr>
      <w:r>
        <w:rPr>
          <w:rFonts w:hint="eastAsia" w:ascii="仿宋_GB2312" w:eastAsia="仿宋_GB2312"/>
          <w:sz w:val="32"/>
          <w:szCs w:val="32"/>
        </w:rPr>
        <w:t>成  员：</w:t>
      </w:r>
      <w:r>
        <w:rPr>
          <w:rFonts w:hint="eastAsia" w:ascii="仿宋_GB2312" w:hAnsi="宋体" w:eastAsia="仿宋_GB2312" w:cs="Times New Roman"/>
          <w:sz w:val="32"/>
          <w:szCs w:val="32"/>
        </w:rPr>
        <w:t>曹翠玲</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常朝阳</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陈红英</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胡景江</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雷  鸣</w:t>
      </w:r>
    </w:p>
    <w:p>
      <w:pPr>
        <w:ind w:firstLine="1920" w:firstLineChars="600"/>
        <w:rPr>
          <w:rFonts w:ascii="仿宋_GB2312" w:hAnsi="宋体" w:eastAsia="仿宋_GB2312"/>
          <w:sz w:val="32"/>
          <w:szCs w:val="32"/>
        </w:rPr>
      </w:pPr>
      <w:r>
        <w:rPr>
          <w:rFonts w:hint="eastAsia" w:ascii="仿宋_GB2312" w:hAnsi="宋体" w:eastAsia="仿宋_GB2312" w:cs="Times New Roman"/>
          <w:sz w:val="32"/>
          <w:szCs w:val="32"/>
        </w:rPr>
        <w:t>梁宗锁</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刘西平</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慕小倩</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陶士珩</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杨淑慎</w:t>
      </w:r>
    </w:p>
    <w:p>
      <w:pPr>
        <w:ind w:firstLine="1920" w:firstLineChars="600"/>
        <w:rPr>
          <w:rFonts w:ascii="仿宋_GB2312" w:hAnsi="宋体" w:eastAsia="仿宋_GB2312"/>
          <w:sz w:val="32"/>
          <w:szCs w:val="32"/>
        </w:rPr>
      </w:pPr>
      <w:r>
        <w:rPr>
          <w:rFonts w:hint="eastAsia" w:ascii="仿宋_GB2312" w:hAnsi="宋体" w:eastAsia="仿宋_GB2312" w:cs="Times New Roman"/>
          <w:sz w:val="32"/>
          <w:szCs w:val="32"/>
        </w:rPr>
        <w:t>张林生</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赵惠贤</w:t>
      </w:r>
      <w:r>
        <w:rPr>
          <w:rFonts w:hint="eastAsia" w:ascii="仿宋_GB2312" w:hAnsi="宋体" w:eastAsia="仿宋_GB2312" w:cs="Times New Roman"/>
          <w:sz w:val="32"/>
          <w:szCs w:val="32"/>
          <w:lang w:val="en-US" w:eastAsia="zh-CN"/>
        </w:rPr>
        <w:t xml:space="preserve">  徐  海</w:t>
      </w:r>
    </w:p>
    <w:p>
      <w:pPr>
        <w:ind w:firstLine="640" w:firstLineChars="200"/>
        <w:rPr>
          <w:rFonts w:ascii="仿宋_GB2312" w:eastAsia="仿宋_GB2312"/>
          <w:sz w:val="32"/>
          <w:szCs w:val="32"/>
        </w:rPr>
      </w:pPr>
      <w:r>
        <w:rPr>
          <w:rFonts w:hint="eastAsia" w:ascii="仿宋_GB2312" w:eastAsia="仿宋_GB2312"/>
          <w:sz w:val="32"/>
          <w:szCs w:val="32"/>
        </w:rPr>
        <w:t xml:space="preserve">秘  书：撒文清  </w:t>
      </w:r>
      <w:r>
        <w:rPr>
          <w:rFonts w:hint="eastAsia" w:ascii="仿宋_GB2312" w:eastAsia="仿宋_GB2312"/>
          <w:sz w:val="32"/>
          <w:szCs w:val="32"/>
          <w:lang w:eastAsia="zh-CN"/>
        </w:rPr>
        <w:t>马佳慧</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评审工作领导小组办公室设在学院</w:t>
      </w:r>
      <w:r>
        <w:rPr>
          <w:rFonts w:hint="eastAsia" w:ascii="仿宋_GB2312" w:eastAsia="仿宋_GB2312"/>
          <w:sz w:val="32"/>
          <w:szCs w:val="32"/>
          <w:lang w:val="en-US" w:eastAsia="zh-CN"/>
        </w:rPr>
        <w:t>研究生</w:t>
      </w:r>
      <w:r>
        <w:rPr>
          <w:rFonts w:hint="eastAsia" w:ascii="仿宋_GB2312" w:eastAsia="仿宋_GB2312"/>
          <w:sz w:val="32"/>
          <w:szCs w:val="32"/>
        </w:rPr>
        <w:t>工作办公室。</w:t>
      </w:r>
    </w:p>
    <w:p>
      <w:pPr>
        <w:ind w:firstLine="640" w:firstLineChars="200"/>
        <w:outlineLvl w:val="0"/>
        <w:rPr>
          <w:rFonts w:ascii="黑体" w:hAnsi="黑体" w:eastAsia="黑体" w:cs="宋体"/>
          <w:kern w:val="0"/>
          <w:sz w:val="32"/>
          <w:szCs w:val="32"/>
        </w:rPr>
      </w:pPr>
      <w:r>
        <w:rPr>
          <w:rFonts w:hint="eastAsia" w:ascii="黑体" w:hAnsi="黑体" w:eastAsia="黑体" w:cs="宋体"/>
          <w:kern w:val="0"/>
          <w:sz w:val="32"/>
          <w:szCs w:val="32"/>
        </w:rPr>
        <w:t>二、评审对象、基本申请条件和参评资格</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（一）评审对象</w:t>
      </w:r>
    </w:p>
    <w:p>
      <w:pPr>
        <w:ind w:firstLine="640" w:firstLineChars="200"/>
        <w:rPr>
          <w:rFonts w:ascii="仿宋_GB2312" w:eastAsia="仿宋_GB2312"/>
          <w:sz w:val="32"/>
          <w:szCs w:val="32"/>
        </w:rPr>
      </w:pPr>
      <w:r>
        <w:rPr>
          <w:rFonts w:hint="eastAsia" w:ascii="仿宋_GB2312" w:eastAsia="仿宋_GB2312"/>
          <w:color w:val="000000"/>
          <w:sz w:val="32"/>
          <w:szCs w:val="32"/>
        </w:rPr>
        <w:t>研究生国家奖学金的评审对象为学院全日制非在职研究生</w:t>
      </w:r>
      <w:r>
        <w:rPr>
          <w:rFonts w:hint="eastAsia" w:ascii="仿宋_GB2312" w:eastAsia="仿宋_GB2312"/>
          <w:sz w:val="32"/>
          <w:szCs w:val="32"/>
        </w:rPr>
        <w:t>。</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（二）基本申请条件</w:t>
      </w:r>
    </w:p>
    <w:p>
      <w:pPr>
        <w:spacing w:line="600" w:lineRule="exact"/>
        <w:ind w:firstLine="641"/>
        <w:rPr>
          <w:rFonts w:ascii="仿宋_GB2312" w:eastAsia="仿宋_GB2312"/>
          <w:sz w:val="32"/>
          <w:szCs w:val="32"/>
        </w:rPr>
      </w:pPr>
      <w:r>
        <w:rPr>
          <w:rFonts w:hint="eastAsia" w:ascii="仿宋_GB2312" w:eastAsia="仿宋_GB2312"/>
          <w:sz w:val="32"/>
          <w:szCs w:val="32"/>
        </w:rPr>
        <w:t>1.具有中华人民共和国国籍，热爱社会主义祖国，拥护中国共产党的领导；</w:t>
      </w:r>
    </w:p>
    <w:p>
      <w:pPr>
        <w:spacing w:line="600" w:lineRule="exact"/>
        <w:ind w:firstLine="641"/>
        <w:rPr>
          <w:rFonts w:ascii="仿宋_GB2312" w:eastAsia="仿宋_GB2312"/>
          <w:sz w:val="32"/>
          <w:szCs w:val="32"/>
        </w:rPr>
      </w:pPr>
      <w:r>
        <w:rPr>
          <w:rFonts w:hint="eastAsia" w:ascii="仿宋_GB2312" w:eastAsia="仿宋_GB2312"/>
          <w:sz w:val="32"/>
          <w:szCs w:val="32"/>
        </w:rPr>
        <w:t>2.遵守宪法和法律，遵守学校规章制度，诚实守信，道德品质优良；</w:t>
      </w:r>
    </w:p>
    <w:p>
      <w:pPr>
        <w:spacing w:line="600" w:lineRule="exact"/>
        <w:ind w:firstLine="641"/>
        <w:rPr>
          <w:rFonts w:ascii="仿宋_GB2312" w:eastAsia="仿宋_GB2312"/>
          <w:sz w:val="32"/>
          <w:szCs w:val="32"/>
        </w:rPr>
      </w:pPr>
      <w:r>
        <w:rPr>
          <w:rFonts w:hint="eastAsia" w:ascii="仿宋_GB2312" w:eastAsia="仿宋_GB2312"/>
          <w:sz w:val="32"/>
          <w:szCs w:val="32"/>
        </w:rPr>
        <w:t>3.学习成绩优异，科研能力或实践能力显著，发展潜力突出；</w:t>
      </w:r>
    </w:p>
    <w:p>
      <w:pPr>
        <w:spacing w:line="600" w:lineRule="exact"/>
        <w:ind w:firstLine="641"/>
        <w:rPr>
          <w:rFonts w:ascii="仿宋_GB2312" w:eastAsia="仿宋_GB2312"/>
          <w:sz w:val="32"/>
          <w:szCs w:val="32"/>
        </w:rPr>
      </w:pPr>
      <w:r>
        <w:rPr>
          <w:rFonts w:hint="eastAsia" w:ascii="仿宋_GB2312" w:eastAsia="仿宋_GB2312"/>
          <w:sz w:val="32"/>
          <w:szCs w:val="32"/>
        </w:rPr>
        <w:t>4.身心健康，积极参加科技创新、社会实践及社会公益活动。</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（三）参评资格</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1.因国家和学校公派出国联合培养或校际交流且具有我校学籍的研究生，仍具备研究生国家奖学金参评资格；</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2.研究生在基本学制年限内，可多次获得研究生国家奖学金，但获奖成果不可重复申报使用。超出基本学制年限的研究生，不再具备研究生国家奖学金参评资格;</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3.</w:t>
      </w:r>
      <w:r>
        <w:rPr>
          <w:rFonts w:hint="eastAsia" w:ascii="仿宋_GB2312" w:eastAsia="仿宋_GB2312"/>
          <w:sz w:val="32"/>
          <w:szCs w:val="32"/>
        </w:rPr>
        <w:t>硕博连读研究生在注册为博士研究生之前按照硕士研究生身份申请国家奖学金，注册为博士研究生后按照博士研究生身份申请国家奖学金；直博生享受硕士研究生待遇的按照硕士研究生身份参与评定，享受博士研究生待遇的按照博士研究生身份参与评定；</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4.研究生在参评学年有下列情况之一者，不具备当年参评资格：</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（1）违反国家法律、校纪校规受到纪律处分者；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课程考试不及格者（其中一年级硕士研究生是指在本科阶段除公共选修课外有课程考试不及格者，一年级博士研究生是指在硕士研究生阶段有课程考试不及格者，高年级硕士研究生、博士研究生分别是指在硕士研究生阶段、博士研究生阶段有课程考试不及格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（3）有抄袭剽窃、弄虚作假等学术不端行为经查证属实者；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（4）学籍状态处于休学、保留学籍者。</w:t>
      </w:r>
    </w:p>
    <w:p>
      <w:p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rPr>
        <w:t>三、评审名额分配</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（一）评审名额</w:t>
      </w:r>
    </w:p>
    <w:p>
      <w:pPr>
        <w:ind w:firstLine="640" w:firstLineChars="200"/>
        <w:rPr>
          <w:rFonts w:ascii="仿宋_GB2312" w:eastAsia="仿宋_GB2312"/>
          <w:sz w:val="32"/>
          <w:szCs w:val="32"/>
        </w:rPr>
      </w:pPr>
      <w:r>
        <w:rPr>
          <w:rFonts w:hint="eastAsia" w:ascii="仿宋_GB2312" w:eastAsia="仿宋_GB2312"/>
          <w:sz w:val="32"/>
          <w:szCs w:val="32"/>
        </w:rPr>
        <w:t>研究生国家奖学金每学年评审一次。每学年的名额以学校分配给学院的名额数为准。</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（二）名额分配</w:t>
      </w:r>
    </w:p>
    <w:p>
      <w:pPr>
        <w:ind w:firstLine="640" w:firstLineChars="200"/>
        <w:outlineLvl w:val="2"/>
        <w:rPr>
          <w:rFonts w:ascii="仿宋_GB2312" w:eastAsia="仿宋_GB2312"/>
          <w:color w:val="000000"/>
          <w:sz w:val="32"/>
          <w:szCs w:val="32"/>
        </w:rPr>
      </w:pPr>
      <w:r>
        <w:rPr>
          <w:rFonts w:hint="eastAsia" w:ascii="仿宋_GB2312" w:eastAsia="仿宋_GB2312"/>
          <w:sz w:val="32"/>
          <w:szCs w:val="32"/>
        </w:rPr>
        <w:t>1.</w:t>
      </w:r>
      <w:r>
        <w:rPr>
          <w:rFonts w:hint="eastAsia" w:ascii="仿宋_GB2312" w:eastAsia="仿宋_GB2312"/>
          <w:color w:val="000000"/>
          <w:sz w:val="32"/>
          <w:szCs w:val="32"/>
        </w:rPr>
        <w:t>博士研究生的名额分配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博士研究生国家奖学金名额按照当年具有参评资格的人数比例在一年级和高年级间进行分配。</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2.硕士研究生的名额分配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（1）硕士研究生国家奖学金名额按照当年具有参评资格的人数比例在一年级和高年级间进行分配。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（2）一年级硕士研究生不区分学术型和专业型两种不同的培养类型，进行统一评定。</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（3）高年级硕士研究生按照当年具有参评资格的人数比例在学术型研究生和专业型研究生间进行名额分配。按比例计算出的专业型硕士研究生名额不足1人时，按1人计</w:t>
      </w:r>
      <w:bookmarkStart w:id="0" w:name="_GoBack"/>
      <w:bookmarkEnd w:id="0"/>
      <w:r>
        <w:rPr>
          <w:rFonts w:hint="eastAsia" w:ascii="仿宋_GB2312" w:eastAsia="仿宋_GB2312"/>
          <w:color w:val="000000"/>
          <w:sz w:val="32"/>
          <w:szCs w:val="32"/>
        </w:rPr>
        <w:t>。</w:t>
      </w:r>
    </w:p>
    <w:p>
      <w:pPr>
        <w:ind w:firstLine="640" w:firstLineChars="200"/>
        <w:rPr>
          <w:rFonts w:ascii="仿宋_GB2312" w:eastAsia="仿宋_GB2312"/>
          <w:sz w:val="32"/>
          <w:szCs w:val="32"/>
        </w:rPr>
      </w:pPr>
      <w:r>
        <w:rPr>
          <w:rFonts w:hint="eastAsia" w:ascii="仿宋_GB2312" w:eastAsia="仿宋_GB2312"/>
          <w:color w:val="000000"/>
          <w:sz w:val="32"/>
          <w:szCs w:val="32"/>
        </w:rPr>
        <w:t>3.同一类别内，一个学科点获得国家奖学金的人数不得超过名额数</w:t>
      </w:r>
      <w:r>
        <w:rPr>
          <w:rFonts w:hint="eastAsia" w:ascii="仿宋_GB2312" w:eastAsia="仿宋_GB2312"/>
          <w:sz w:val="32"/>
          <w:szCs w:val="32"/>
        </w:rPr>
        <w:t>的30%。</w:t>
      </w:r>
    </w:p>
    <w:p>
      <w:p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rPr>
        <w:t>四、指标体系</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（一）高年级学术型硕士研究生和高年级博士研究生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总评成绩</w:t>
      </w:r>
      <w:r>
        <w:rPr>
          <w:rFonts w:hint="eastAsia" w:ascii="仿宋_GB2312" w:hAnsi="仿宋_GB2312" w:eastAsia="仿宋_GB2312"/>
          <w:color w:val="000000"/>
          <w:sz w:val="32"/>
          <w:szCs w:val="32"/>
        </w:rPr>
        <w:t>=</w:t>
      </w:r>
      <w:r>
        <w:rPr>
          <w:rFonts w:hint="eastAsia" w:ascii="仿宋_GB2312" w:eastAsia="仿宋_GB2312"/>
          <w:color w:val="000000"/>
          <w:sz w:val="32"/>
          <w:szCs w:val="32"/>
        </w:rPr>
        <w:t>德育成绩+学业成绩+科研成绩+附加分。</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1.德育成绩（满分为10分）</w:t>
      </w:r>
    </w:p>
    <w:p>
      <w:pPr>
        <w:ind w:firstLine="640" w:firstLineChars="200"/>
        <w:rPr>
          <w:rFonts w:ascii="仿宋_GB2312" w:hAnsi="宋体" w:eastAsia="仿宋_GB2312"/>
          <w:sz w:val="32"/>
          <w:szCs w:val="32"/>
        </w:rPr>
      </w:pPr>
      <w:r>
        <w:rPr>
          <w:rFonts w:hint="eastAsia" w:ascii="仿宋_GB2312" w:hAnsi="宋体" w:eastAsia="仿宋_GB2312"/>
          <w:sz w:val="32"/>
          <w:szCs w:val="32"/>
        </w:rPr>
        <w:t>由研究生导师根据学生热爱社会主义祖国，拥护中国共产党的领导；遵守宪法和法律；遵守学校规章制度；遵守实验室管理制度，按时完成导师交办的任务；诚实守信，道德品质优良，学术作风端正等情况进行综合打分。</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2.学业成绩（满分为30分）</w:t>
      </w:r>
    </w:p>
    <w:p>
      <w:pPr>
        <w:ind w:firstLine="640" w:firstLineChars="200"/>
        <w:rPr>
          <w:rFonts w:ascii="仿宋_GB2312" w:hAnsi="宋体" w:eastAsia="仿宋_GB2312"/>
          <w:sz w:val="32"/>
          <w:szCs w:val="32"/>
        </w:rPr>
      </w:pPr>
      <w:r>
        <w:rPr>
          <w:rFonts w:hint="eastAsia" w:ascii="仿宋_GB2312" w:hAnsi="宋体" w:eastAsia="仿宋_GB2312"/>
          <w:sz w:val="32"/>
          <w:szCs w:val="32"/>
        </w:rPr>
        <w:t>学业成绩=学位课加权平均分×30%。</w:t>
      </w:r>
    </w:p>
    <w:p>
      <w:pPr>
        <w:ind w:firstLine="640" w:firstLineChars="200"/>
        <w:rPr>
          <w:rFonts w:ascii="仿宋_GB2312" w:hAnsi="宋体" w:eastAsia="仿宋_GB2312"/>
          <w:sz w:val="32"/>
          <w:szCs w:val="32"/>
        </w:rPr>
      </w:pPr>
      <w:r>
        <w:rPr>
          <w:rFonts w:hint="eastAsia" w:ascii="仿宋_GB2312" w:hAnsi="宋体" w:eastAsia="仿宋_GB2312"/>
          <w:sz w:val="32"/>
          <w:szCs w:val="32"/>
        </w:rPr>
        <w:t>由研究生办公室开具申请人学业成绩证明。</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3.科研业绩（满分为60分）</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申请人所提交申请材料的认定时间范围为自入学注册之日起到评奖材料提交之日止。</w:t>
      </w:r>
    </w:p>
    <w:p>
      <w:pPr>
        <w:ind w:firstLine="640" w:firstLineChars="200"/>
        <w:rPr>
          <w:rFonts w:ascii="仿宋_GB2312" w:hAnsi="宋体" w:eastAsia="仿宋_GB2312"/>
          <w:sz w:val="32"/>
          <w:szCs w:val="32"/>
        </w:rPr>
      </w:pPr>
      <w:r>
        <w:rPr>
          <w:rFonts w:hint="eastAsia" w:ascii="仿宋_GB2312" w:hAnsi="宋体" w:eastAsia="仿宋_GB2312"/>
          <w:sz w:val="32"/>
          <w:szCs w:val="32"/>
        </w:rPr>
        <w:t>申请人所提交的申请材料必须与申请人研究方向一致。</w:t>
      </w:r>
    </w:p>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（1）科研论文</w:t>
      </w:r>
    </w:p>
    <w:tbl>
      <w:tblPr>
        <w:tblStyle w:val="10"/>
        <w:tblW w:w="8905" w:type="dxa"/>
        <w:jc w:val="center"/>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878"/>
        <w:gridCol w:w="2749"/>
        <w:gridCol w:w="2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jc w:val="center"/>
        </w:trPr>
        <w:tc>
          <w:tcPr>
            <w:tcW w:w="1739"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发表刊物</w:t>
            </w:r>
          </w:p>
        </w:tc>
        <w:tc>
          <w:tcPr>
            <w:tcW w:w="1878"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计分标准</w:t>
            </w:r>
          </w:p>
        </w:tc>
        <w:tc>
          <w:tcPr>
            <w:tcW w:w="2749" w:type="dxa"/>
            <w:vAlign w:val="center"/>
          </w:tcPr>
          <w:p>
            <w:pPr>
              <w:widowControl/>
              <w:tabs>
                <w:tab w:val="left" w:pos="0"/>
              </w:tabs>
              <w:jc w:val="center"/>
              <w:rPr>
                <w:rFonts w:ascii="黑体" w:hAnsi="黑体" w:eastAsia="黑体" w:cs="宋体"/>
                <w:sz w:val="28"/>
              </w:rPr>
            </w:pPr>
            <w:r>
              <w:rPr>
                <w:rFonts w:hint="eastAsia" w:ascii="黑体" w:hAnsi="黑体" w:eastAsia="黑体" w:cs="宋体"/>
                <w:sz w:val="28"/>
              </w:rPr>
              <w:t>计分说明</w:t>
            </w:r>
          </w:p>
        </w:tc>
        <w:tc>
          <w:tcPr>
            <w:tcW w:w="2539" w:type="dxa"/>
            <w:vAlign w:val="center"/>
          </w:tcPr>
          <w:p>
            <w:pPr>
              <w:widowControl/>
              <w:tabs>
                <w:tab w:val="left" w:pos="0"/>
              </w:tabs>
              <w:jc w:val="center"/>
              <w:rPr>
                <w:rFonts w:ascii="黑体" w:hAnsi="黑体" w:eastAsia="黑体" w:cs="宋体"/>
                <w:sz w:val="28"/>
              </w:rPr>
            </w:pPr>
            <w:r>
              <w:rPr>
                <w:rFonts w:hint="eastAsia" w:ascii="黑体" w:hAnsi="黑体" w:eastAsia="黑体" w:cs="宋体"/>
                <w:sz w:val="28"/>
              </w:rPr>
              <w:t>材料认定说明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jc w:val="center"/>
        </w:trPr>
        <w:tc>
          <w:tcPr>
            <w:tcW w:w="1739" w:type="dxa"/>
            <w:vAlign w:val="center"/>
          </w:tcPr>
          <w:p>
            <w:pPr>
              <w:widowControl/>
              <w:adjustRightInd w:val="0"/>
              <w:snapToGrid w:val="0"/>
              <w:spacing w:before="100" w:beforeAutospacing="1" w:after="100" w:afterAutospacing="1"/>
              <w:contextualSpacing/>
              <w:rPr>
                <w:rFonts w:ascii="宋体" w:hAnsi="宋体" w:cs="宋体"/>
                <w:sz w:val="28"/>
              </w:rPr>
            </w:pPr>
            <w:r>
              <w:rPr>
                <w:rFonts w:hint="eastAsia" w:ascii="宋体" w:hAnsi="宋体" w:cs="宋体"/>
                <w:sz w:val="28"/>
              </w:rPr>
              <w:t>SCI论文</w:t>
            </w:r>
          </w:p>
        </w:tc>
        <w:tc>
          <w:tcPr>
            <w:tcW w:w="1878"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10 + IF</w:t>
            </w:r>
            <w:r>
              <w:rPr>
                <w:rFonts w:hint="eastAsia" w:ascii="仿宋_GB2312" w:hAnsi="宋体" w:eastAsia="仿宋_GB2312"/>
                <w:sz w:val="32"/>
                <w:szCs w:val="32"/>
              </w:rPr>
              <w:t>×</w:t>
            </w:r>
            <w:r>
              <w:rPr>
                <w:rFonts w:hint="eastAsia" w:ascii="宋体" w:hAnsi="宋体" w:cs="宋体"/>
                <w:sz w:val="28"/>
              </w:rPr>
              <w:t>5</w:t>
            </w:r>
          </w:p>
        </w:tc>
        <w:tc>
          <w:tcPr>
            <w:tcW w:w="2749" w:type="dxa"/>
            <w:vMerge w:val="restart"/>
            <w:vAlign w:val="top"/>
          </w:tcPr>
          <w:p>
            <w:pPr>
              <w:widowControl/>
              <w:shd w:val="clear" w:color="auto" w:fill="FFFFFF"/>
              <w:spacing w:line="360" w:lineRule="auto"/>
              <w:ind w:firstLine="480" w:firstLineChars="200"/>
              <w:rPr>
                <w:rFonts w:ascii="宋体" w:hAnsi="宋体"/>
                <w:sz w:val="24"/>
                <w:szCs w:val="32"/>
              </w:rPr>
            </w:pPr>
            <w:r>
              <w:rPr>
                <w:rFonts w:hint="eastAsia" w:ascii="宋体" w:hAnsi="宋体"/>
                <w:sz w:val="24"/>
                <w:szCs w:val="32"/>
              </w:rPr>
              <w:t>1.SCI论文无并列第一作者时计分办法：有两位作者时按照排名分别以80%和20%计分；有三位（或三位以上）作者时，前三位作者按照排名分别以70%、20%和10%计分。</w:t>
            </w:r>
          </w:p>
          <w:p>
            <w:pPr>
              <w:widowControl/>
              <w:shd w:val="clear" w:color="auto" w:fill="FFFFFF"/>
              <w:spacing w:line="360" w:lineRule="auto"/>
              <w:ind w:firstLine="480" w:firstLineChars="200"/>
              <w:rPr>
                <w:rFonts w:ascii="宋体" w:hAnsi="宋体"/>
                <w:sz w:val="24"/>
                <w:szCs w:val="32"/>
              </w:rPr>
            </w:pPr>
            <w:r>
              <w:rPr>
                <w:rFonts w:hint="eastAsia" w:ascii="宋体" w:hAnsi="宋体"/>
                <w:sz w:val="24"/>
                <w:szCs w:val="32"/>
              </w:rPr>
              <w:t>2.SCI论文有并列第一作者时计分办法：只有两位并列第一作者时，按照排名分别以60%和40%计分；有两位并列第一作者，前三位作者按照排名分别以50%、40%、10%计分；有三位（或三位以上）并列第一作者时，前三位作者按照排名分别以50%、30%、20%计分。</w:t>
            </w:r>
          </w:p>
        </w:tc>
        <w:tc>
          <w:tcPr>
            <w:tcW w:w="2539" w:type="dxa"/>
            <w:vMerge w:val="restart"/>
            <w:vAlign w:val="top"/>
          </w:tcPr>
          <w:p>
            <w:pPr>
              <w:widowControl/>
              <w:shd w:val="clear" w:color="auto" w:fill="FFFFFF"/>
              <w:spacing w:line="276" w:lineRule="auto"/>
              <w:ind w:firstLine="480" w:firstLineChars="200"/>
              <w:rPr>
                <w:rFonts w:ascii="宋体" w:hAnsi="宋体"/>
                <w:sz w:val="24"/>
                <w:szCs w:val="32"/>
              </w:rPr>
            </w:pPr>
            <w:r>
              <w:rPr>
                <w:rFonts w:hint="eastAsia" w:ascii="宋体" w:hAnsi="宋体"/>
                <w:sz w:val="24"/>
                <w:szCs w:val="32"/>
              </w:rPr>
              <w:t>1.科研论文认定范围为：SCI、EI、国内A类和B类学术期刊(以学校公布的国内A类、B类学术期刊名录为准)。</w:t>
            </w:r>
          </w:p>
          <w:p>
            <w:pPr>
              <w:widowControl/>
              <w:shd w:val="clear" w:color="auto" w:fill="FFFFFF"/>
              <w:spacing w:line="276" w:lineRule="auto"/>
              <w:ind w:firstLine="480" w:firstLineChars="200"/>
              <w:rPr>
                <w:rFonts w:ascii="宋体" w:hAnsi="宋体"/>
                <w:sz w:val="24"/>
                <w:szCs w:val="32"/>
              </w:rPr>
            </w:pPr>
            <w:r>
              <w:rPr>
                <w:rFonts w:hint="eastAsia" w:ascii="宋体" w:hAnsi="宋体"/>
                <w:sz w:val="24"/>
                <w:szCs w:val="32"/>
              </w:rPr>
              <w:t>其中，SCI要求申请人须为论文前三位作者；其它文章要求申请人须为第一作者、导师为通讯作者之一。</w:t>
            </w:r>
          </w:p>
          <w:p>
            <w:pPr>
              <w:widowControl/>
              <w:shd w:val="clear" w:color="auto" w:fill="FFFFFF"/>
              <w:spacing w:line="276" w:lineRule="auto"/>
              <w:ind w:firstLine="480" w:firstLineChars="200"/>
              <w:rPr>
                <w:rFonts w:ascii="宋体" w:hAnsi="宋体"/>
                <w:sz w:val="24"/>
                <w:szCs w:val="32"/>
              </w:rPr>
            </w:pPr>
            <w:r>
              <w:rPr>
                <w:rFonts w:hint="eastAsia" w:ascii="宋体" w:hAnsi="宋体"/>
                <w:sz w:val="24"/>
                <w:szCs w:val="32"/>
              </w:rPr>
              <w:t>2.SCI论文必须正式发表或可网上在线（online）查询，其余论文一律要求正式发表见刊（申请者必须提供论文原件、检索证明或网上在线全文打印件，并经导师签字认定）。</w:t>
            </w:r>
          </w:p>
          <w:p>
            <w:pPr>
              <w:spacing w:line="276" w:lineRule="auto"/>
              <w:ind w:firstLine="480" w:firstLineChars="200"/>
              <w:rPr>
                <w:rFonts w:ascii="宋体" w:hAnsi="宋体"/>
                <w:sz w:val="24"/>
                <w:szCs w:val="32"/>
              </w:rPr>
            </w:pPr>
            <w:r>
              <w:rPr>
                <w:rFonts w:hint="eastAsia" w:ascii="宋体" w:hAnsi="宋体"/>
                <w:sz w:val="24"/>
                <w:szCs w:val="32"/>
              </w:rPr>
              <w:t>3.科研论文影响因子以论文发表杂志当年影响因子计算。</w:t>
            </w:r>
          </w:p>
          <w:p>
            <w:pPr>
              <w:spacing w:line="276" w:lineRule="auto"/>
              <w:ind w:firstLine="480" w:firstLineChars="200"/>
              <w:rPr>
                <w:rFonts w:ascii="宋体" w:hAnsi="宋体"/>
                <w:sz w:val="24"/>
                <w:szCs w:val="32"/>
              </w:rPr>
            </w:pPr>
            <w:r>
              <w:rPr>
                <w:rFonts w:hint="eastAsia" w:ascii="宋体" w:hAnsi="宋体"/>
                <w:sz w:val="24"/>
                <w:szCs w:val="32"/>
              </w:rPr>
              <w:t>4.所有科研论文必须以西北农林科技大学为第一署名单位。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jc w:val="center"/>
        </w:trPr>
        <w:tc>
          <w:tcPr>
            <w:tcW w:w="1739" w:type="dxa"/>
            <w:vAlign w:val="center"/>
          </w:tcPr>
          <w:p>
            <w:pPr>
              <w:widowControl/>
              <w:adjustRightInd w:val="0"/>
              <w:snapToGrid w:val="0"/>
              <w:spacing w:before="100" w:beforeAutospacing="1" w:after="100" w:afterAutospacing="1"/>
              <w:contextualSpacing/>
              <w:rPr>
                <w:rFonts w:ascii="宋体" w:hAnsi="宋体" w:cs="宋体"/>
                <w:sz w:val="28"/>
              </w:rPr>
            </w:pPr>
            <w:r>
              <w:rPr>
                <w:rFonts w:hint="eastAsia" w:ascii="宋体" w:hAnsi="宋体" w:cs="宋体"/>
                <w:sz w:val="28"/>
              </w:rPr>
              <w:t>EI论文</w:t>
            </w:r>
          </w:p>
        </w:tc>
        <w:tc>
          <w:tcPr>
            <w:tcW w:w="1878" w:type="dxa"/>
            <w:vAlign w:val="center"/>
          </w:tcPr>
          <w:p>
            <w:pPr>
              <w:widowControl/>
              <w:adjustRightInd w:val="0"/>
              <w:snapToGrid w:val="0"/>
              <w:spacing w:before="100" w:beforeAutospacing="1" w:after="100" w:afterAutospacing="1"/>
              <w:ind w:firstLine="700" w:firstLineChars="250"/>
              <w:contextualSpacing/>
              <w:rPr>
                <w:rFonts w:ascii="宋体" w:hAnsi="宋体" w:cs="宋体"/>
                <w:sz w:val="28"/>
              </w:rPr>
            </w:pPr>
            <w:r>
              <w:rPr>
                <w:rFonts w:hint="eastAsia" w:ascii="宋体" w:hAnsi="宋体" w:cs="宋体"/>
                <w:sz w:val="28"/>
              </w:rPr>
              <w:t>8</w:t>
            </w:r>
          </w:p>
        </w:tc>
        <w:tc>
          <w:tcPr>
            <w:tcW w:w="2749" w:type="dxa"/>
            <w:vMerge w:val="continue"/>
            <w:vAlign w:val="top"/>
          </w:tcPr>
          <w:p>
            <w:pPr>
              <w:widowControl/>
              <w:shd w:val="clear" w:color="auto" w:fill="FFFFFF"/>
              <w:ind w:firstLine="720" w:firstLineChars="200"/>
              <w:rPr>
                <w:rFonts w:ascii="仿宋_GB2312" w:hAnsi="宋体" w:eastAsia="仿宋_GB2312"/>
                <w:sz w:val="36"/>
                <w:szCs w:val="32"/>
              </w:rPr>
            </w:pPr>
          </w:p>
        </w:tc>
        <w:tc>
          <w:tcPr>
            <w:tcW w:w="2539" w:type="dxa"/>
            <w:vMerge w:val="continue"/>
            <w:vAlign w:val="top"/>
          </w:tcPr>
          <w:p>
            <w:pPr>
              <w:widowControl/>
              <w:shd w:val="clear" w:color="auto" w:fill="FFFFFF"/>
              <w:ind w:firstLine="720" w:firstLineChars="200"/>
              <w:rPr>
                <w:rFonts w:ascii="仿宋_GB2312" w:hAnsi="宋体" w:eastAsia="仿宋_GB2312"/>
                <w:sz w:val="3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jc w:val="center"/>
        </w:trPr>
        <w:tc>
          <w:tcPr>
            <w:tcW w:w="1739" w:type="dxa"/>
            <w:vAlign w:val="center"/>
          </w:tcPr>
          <w:p>
            <w:pPr>
              <w:widowControl/>
              <w:adjustRightInd w:val="0"/>
              <w:snapToGrid w:val="0"/>
              <w:spacing w:before="100" w:beforeAutospacing="1" w:after="100" w:afterAutospacing="1"/>
              <w:contextualSpacing/>
              <w:rPr>
                <w:rFonts w:ascii="宋体" w:hAnsi="宋体" w:cs="宋体"/>
                <w:sz w:val="28"/>
              </w:rPr>
            </w:pPr>
            <w:r>
              <w:rPr>
                <w:rFonts w:hint="eastAsia" w:ascii="宋体" w:hAnsi="宋体" w:cs="宋体"/>
                <w:sz w:val="28"/>
              </w:rPr>
              <w:t>学校认定的国内A类学术期刊</w:t>
            </w:r>
          </w:p>
        </w:tc>
        <w:tc>
          <w:tcPr>
            <w:tcW w:w="1878" w:type="dxa"/>
            <w:vAlign w:val="center"/>
          </w:tcPr>
          <w:p>
            <w:pPr>
              <w:widowControl/>
              <w:adjustRightInd w:val="0"/>
              <w:snapToGrid w:val="0"/>
              <w:spacing w:before="100" w:beforeAutospacing="1" w:after="100" w:afterAutospacing="1"/>
              <w:ind w:firstLine="700" w:firstLineChars="250"/>
              <w:contextualSpacing/>
              <w:rPr>
                <w:rFonts w:ascii="宋体" w:hAnsi="宋体" w:cs="宋体"/>
                <w:sz w:val="28"/>
              </w:rPr>
            </w:pPr>
            <w:r>
              <w:rPr>
                <w:rFonts w:hint="eastAsia" w:ascii="宋体" w:hAnsi="宋体" w:cs="宋体"/>
                <w:sz w:val="28"/>
              </w:rPr>
              <w:t>6</w:t>
            </w:r>
          </w:p>
        </w:tc>
        <w:tc>
          <w:tcPr>
            <w:tcW w:w="2749" w:type="dxa"/>
            <w:vMerge w:val="continue"/>
            <w:vAlign w:val="top"/>
          </w:tcPr>
          <w:p>
            <w:pPr>
              <w:widowControl/>
              <w:shd w:val="clear" w:color="auto" w:fill="FFFFFF"/>
              <w:ind w:firstLine="720" w:firstLineChars="200"/>
              <w:rPr>
                <w:rFonts w:ascii="仿宋_GB2312" w:hAnsi="宋体" w:eastAsia="仿宋_GB2312"/>
                <w:sz w:val="36"/>
                <w:szCs w:val="32"/>
              </w:rPr>
            </w:pPr>
          </w:p>
        </w:tc>
        <w:tc>
          <w:tcPr>
            <w:tcW w:w="2539" w:type="dxa"/>
            <w:vMerge w:val="continue"/>
            <w:vAlign w:val="top"/>
          </w:tcPr>
          <w:p>
            <w:pPr>
              <w:widowControl/>
              <w:shd w:val="clear" w:color="auto" w:fill="FFFFFF"/>
              <w:ind w:firstLine="720" w:firstLineChars="200"/>
              <w:rPr>
                <w:rFonts w:ascii="仿宋_GB2312" w:hAnsi="宋体" w:eastAsia="仿宋_GB2312"/>
                <w:sz w:val="3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4" w:hRule="atLeast"/>
          <w:jc w:val="center"/>
        </w:trPr>
        <w:tc>
          <w:tcPr>
            <w:tcW w:w="1739" w:type="dxa"/>
            <w:vAlign w:val="center"/>
          </w:tcPr>
          <w:p>
            <w:pPr>
              <w:widowControl/>
              <w:adjustRightInd w:val="0"/>
              <w:snapToGrid w:val="0"/>
              <w:spacing w:before="100" w:beforeAutospacing="1" w:after="100" w:afterAutospacing="1"/>
              <w:contextualSpacing/>
              <w:rPr>
                <w:rFonts w:ascii="宋体" w:hAnsi="宋体" w:cs="宋体"/>
                <w:sz w:val="28"/>
              </w:rPr>
            </w:pPr>
            <w:r>
              <w:rPr>
                <w:rFonts w:hint="eastAsia" w:ascii="宋体" w:hAnsi="宋体" w:cs="宋体"/>
                <w:sz w:val="28"/>
              </w:rPr>
              <w:t>学校认定的国内B类学术期刊</w:t>
            </w:r>
          </w:p>
        </w:tc>
        <w:tc>
          <w:tcPr>
            <w:tcW w:w="1878" w:type="dxa"/>
            <w:vAlign w:val="center"/>
          </w:tcPr>
          <w:p>
            <w:pPr>
              <w:widowControl/>
              <w:adjustRightInd w:val="0"/>
              <w:snapToGrid w:val="0"/>
              <w:spacing w:before="100" w:beforeAutospacing="1" w:after="100" w:afterAutospacing="1"/>
              <w:ind w:firstLine="700" w:firstLineChars="250"/>
              <w:contextualSpacing/>
              <w:rPr>
                <w:rFonts w:ascii="宋体" w:hAnsi="宋体" w:cs="宋体"/>
                <w:sz w:val="28"/>
              </w:rPr>
            </w:pPr>
            <w:r>
              <w:rPr>
                <w:rFonts w:hint="eastAsia" w:ascii="宋体" w:hAnsi="宋体" w:cs="宋体"/>
                <w:sz w:val="28"/>
              </w:rPr>
              <w:t>2</w:t>
            </w:r>
          </w:p>
        </w:tc>
        <w:tc>
          <w:tcPr>
            <w:tcW w:w="2749" w:type="dxa"/>
            <w:vMerge w:val="continue"/>
            <w:vAlign w:val="top"/>
          </w:tcPr>
          <w:p>
            <w:pPr>
              <w:widowControl/>
              <w:shd w:val="clear" w:color="auto" w:fill="FFFFFF"/>
              <w:ind w:firstLine="720" w:firstLineChars="200"/>
              <w:rPr>
                <w:rFonts w:ascii="仿宋_GB2312" w:hAnsi="宋体" w:eastAsia="仿宋_GB2312"/>
                <w:sz w:val="36"/>
                <w:szCs w:val="32"/>
              </w:rPr>
            </w:pPr>
          </w:p>
        </w:tc>
        <w:tc>
          <w:tcPr>
            <w:tcW w:w="2539" w:type="dxa"/>
            <w:vMerge w:val="continue"/>
            <w:vAlign w:val="top"/>
          </w:tcPr>
          <w:p>
            <w:pPr>
              <w:widowControl/>
              <w:shd w:val="clear" w:color="auto" w:fill="FFFFFF"/>
              <w:ind w:firstLine="720" w:firstLineChars="200"/>
              <w:rPr>
                <w:rFonts w:ascii="仿宋_GB2312" w:hAnsi="宋体" w:eastAsia="仿宋_GB2312"/>
                <w:sz w:val="36"/>
                <w:szCs w:val="32"/>
              </w:rPr>
            </w:pPr>
          </w:p>
        </w:tc>
      </w:tr>
    </w:tbl>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（2）发明专利</w:t>
      </w:r>
    </w:p>
    <w:tbl>
      <w:tblPr>
        <w:tblStyle w:val="10"/>
        <w:tblW w:w="8951" w:type="dxa"/>
        <w:jc w:val="center"/>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1"/>
        <w:gridCol w:w="2017"/>
        <w:gridCol w:w="3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3131"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作者排名顺序</w:t>
            </w:r>
          </w:p>
        </w:tc>
        <w:tc>
          <w:tcPr>
            <w:tcW w:w="2017"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计分标准</w:t>
            </w:r>
          </w:p>
        </w:tc>
        <w:tc>
          <w:tcPr>
            <w:tcW w:w="3803" w:type="dxa"/>
            <w:vAlign w:val="center"/>
          </w:tcPr>
          <w:p>
            <w:pPr>
              <w:widowControl/>
              <w:tabs>
                <w:tab w:val="left" w:pos="0"/>
              </w:tabs>
              <w:jc w:val="center"/>
              <w:rPr>
                <w:rFonts w:ascii="黑体" w:hAnsi="黑体" w:eastAsia="黑体" w:cs="宋体"/>
                <w:sz w:val="28"/>
              </w:rPr>
            </w:pPr>
            <w:r>
              <w:rPr>
                <w:rFonts w:hint="eastAsia" w:ascii="黑体" w:hAnsi="黑体" w:eastAsia="黑体" w:cs="宋体"/>
                <w:sz w:val="28"/>
              </w:rPr>
              <w:t>计分说明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第一名</w:t>
            </w:r>
          </w:p>
        </w:tc>
        <w:tc>
          <w:tcPr>
            <w:tcW w:w="2017"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5</w:t>
            </w:r>
          </w:p>
        </w:tc>
        <w:tc>
          <w:tcPr>
            <w:tcW w:w="3803" w:type="dxa"/>
            <w:vMerge w:val="restart"/>
            <w:vAlign w:val="center"/>
          </w:tcPr>
          <w:p>
            <w:pPr>
              <w:widowControl/>
              <w:shd w:val="clear" w:color="auto" w:fill="FFFFFF"/>
              <w:rPr>
                <w:rFonts w:ascii="宋体" w:hAnsi="宋体"/>
                <w:sz w:val="24"/>
                <w:szCs w:val="32"/>
              </w:rPr>
            </w:pPr>
            <w:r>
              <w:rPr>
                <w:rFonts w:hint="eastAsia" w:ascii="宋体" w:hAnsi="宋体"/>
                <w:sz w:val="28"/>
                <w:szCs w:val="32"/>
              </w:rPr>
              <w:t>获批专利权人须为西北农林科技大学的国家发明专利者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第二名</w:t>
            </w:r>
          </w:p>
        </w:tc>
        <w:tc>
          <w:tcPr>
            <w:tcW w:w="2017" w:type="dxa"/>
            <w:vAlign w:val="center"/>
          </w:tcPr>
          <w:p>
            <w:pPr>
              <w:widowControl/>
              <w:adjustRightInd w:val="0"/>
              <w:snapToGrid w:val="0"/>
              <w:spacing w:before="100" w:beforeAutospacing="1" w:after="100" w:afterAutospacing="1"/>
              <w:ind w:firstLine="840" w:firstLineChars="300"/>
              <w:contextualSpacing/>
              <w:rPr>
                <w:rFonts w:ascii="宋体" w:hAnsi="宋体" w:cs="宋体"/>
                <w:sz w:val="28"/>
              </w:rPr>
            </w:pPr>
            <w:r>
              <w:rPr>
                <w:rFonts w:hint="eastAsia" w:ascii="宋体" w:hAnsi="宋体" w:cs="宋体"/>
                <w:sz w:val="28"/>
              </w:rPr>
              <w:t>3</w:t>
            </w:r>
          </w:p>
        </w:tc>
        <w:tc>
          <w:tcPr>
            <w:tcW w:w="3803" w:type="dxa"/>
            <w:vMerge w:val="continue"/>
            <w:vAlign w:val="top"/>
          </w:tcPr>
          <w:p>
            <w:pPr>
              <w:widowControl/>
              <w:shd w:val="clear" w:color="auto" w:fill="FFFFFF"/>
              <w:ind w:firstLine="720" w:firstLineChars="200"/>
              <w:rPr>
                <w:rFonts w:ascii="仿宋_GB2312" w:hAnsi="宋体" w:eastAsia="仿宋_GB2312"/>
                <w:sz w:val="3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第三名</w:t>
            </w:r>
          </w:p>
        </w:tc>
        <w:tc>
          <w:tcPr>
            <w:tcW w:w="2017" w:type="dxa"/>
            <w:vAlign w:val="center"/>
          </w:tcPr>
          <w:p>
            <w:pPr>
              <w:widowControl/>
              <w:adjustRightInd w:val="0"/>
              <w:snapToGrid w:val="0"/>
              <w:spacing w:before="100" w:beforeAutospacing="1" w:after="100" w:afterAutospacing="1"/>
              <w:ind w:firstLine="840" w:firstLineChars="300"/>
              <w:contextualSpacing/>
              <w:rPr>
                <w:rFonts w:ascii="宋体" w:hAnsi="宋体" w:cs="宋体"/>
                <w:sz w:val="28"/>
              </w:rPr>
            </w:pPr>
            <w:r>
              <w:rPr>
                <w:rFonts w:hint="eastAsia" w:ascii="宋体" w:hAnsi="宋体" w:cs="宋体"/>
                <w:sz w:val="28"/>
              </w:rPr>
              <w:t>1</w:t>
            </w:r>
          </w:p>
        </w:tc>
        <w:tc>
          <w:tcPr>
            <w:tcW w:w="3803" w:type="dxa"/>
            <w:vMerge w:val="continue"/>
            <w:vAlign w:val="top"/>
          </w:tcPr>
          <w:p>
            <w:pPr>
              <w:widowControl/>
              <w:shd w:val="clear" w:color="auto" w:fill="FFFFFF"/>
              <w:ind w:firstLine="720" w:firstLineChars="200"/>
              <w:rPr>
                <w:rFonts w:ascii="仿宋_GB2312" w:hAnsi="宋体" w:eastAsia="仿宋_GB2312"/>
                <w:sz w:val="36"/>
                <w:szCs w:val="32"/>
              </w:rPr>
            </w:pPr>
          </w:p>
        </w:tc>
      </w:tr>
    </w:tbl>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（3）科研成果</w:t>
      </w:r>
    </w:p>
    <w:tbl>
      <w:tblPr>
        <w:tblStyle w:val="10"/>
        <w:tblW w:w="8805" w:type="dxa"/>
        <w:jc w:val="center"/>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618"/>
        <w:gridCol w:w="1843"/>
        <w:gridCol w:w="1642"/>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17" w:type="dxa"/>
            <w:vAlign w:val="top"/>
          </w:tcPr>
          <w:p>
            <w:pPr>
              <w:widowControl/>
              <w:tabs>
                <w:tab w:val="left" w:pos="0"/>
              </w:tabs>
              <w:jc w:val="center"/>
              <w:rPr>
                <w:rFonts w:ascii="黑体" w:hAnsi="黑体" w:eastAsia="黑体" w:cs="宋体"/>
                <w:sz w:val="28"/>
              </w:rPr>
            </w:pPr>
            <w:r>
              <w:rPr>
                <w:rFonts w:hint="eastAsia" w:ascii="黑体" w:hAnsi="黑体" w:eastAsia="黑体" w:cs="宋体"/>
                <w:sz w:val="28"/>
              </w:rPr>
              <w:t>成果级别</w:t>
            </w:r>
          </w:p>
        </w:tc>
        <w:tc>
          <w:tcPr>
            <w:tcW w:w="1618" w:type="dxa"/>
            <w:vAlign w:val="top"/>
          </w:tcPr>
          <w:p>
            <w:pPr>
              <w:widowControl/>
              <w:tabs>
                <w:tab w:val="left" w:pos="0"/>
              </w:tabs>
              <w:jc w:val="center"/>
              <w:rPr>
                <w:rFonts w:ascii="黑体" w:hAnsi="黑体" w:eastAsia="黑体" w:cs="宋体"/>
                <w:sz w:val="28"/>
              </w:rPr>
            </w:pPr>
            <w:r>
              <w:rPr>
                <w:rFonts w:hint="eastAsia" w:ascii="黑体" w:hAnsi="黑体" w:eastAsia="黑体" w:cs="宋体"/>
                <w:sz w:val="28"/>
              </w:rPr>
              <w:t>获奖等级</w:t>
            </w:r>
          </w:p>
        </w:tc>
        <w:tc>
          <w:tcPr>
            <w:tcW w:w="1843" w:type="dxa"/>
            <w:vAlign w:val="top"/>
          </w:tcPr>
          <w:p>
            <w:pPr>
              <w:widowControl/>
              <w:tabs>
                <w:tab w:val="left" w:pos="0"/>
              </w:tabs>
              <w:jc w:val="center"/>
              <w:rPr>
                <w:rFonts w:ascii="黑体" w:hAnsi="黑体" w:eastAsia="黑体" w:cs="宋体"/>
                <w:sz w:val="28"/>
              </w:rPr>
            </w:pPr>
            <w:r>
              <w:rPr>
                <w:rFonts w:hint="eastAsia" w:ascii="黑体" w:hAnsi="黑体" w:eastAsia="黑体" w:cs="宋体"/>
                <w:sz w:val="28"/>
              </w:rPr>
              <w:t>作者排名顺序</w:t>
            </w:r>
          </w:p>
        </w:tc>
        <w:tc>
          <w:tcPr>
            <w:tcW w:w="1642" w:type="dxa"/>
            <w:vAlign w:val="top"/>
          </w:tcPr>
          <w:p>
            <w:pPr>
              <w:widowControl/>
              <w:tabs>
                <w:tab w:val="left" w:pos="0"/>
              </w:tabs>
              <w:jc w:val="center"/>
              <w:rPr>
                <w:rFonts w:ascii="黑体" w:hAnsi="黑体" w:eastAsia="黑体" w:cs="宋体"/>
                <w:sz w:val="28"/>
              </w:rPr>
            </w:pPr>
            <w:r>
              <w:rPr>
                <w:rFonts w:hint="eastAsia" w:ascii="黑体" w:hAnsi="黑体" w:eastAsia="黑体" w:cs="宋体"/>
                <w:sz w:val="28"/>
              </w:rPr>
              <w:t>计分标准</w:t>
            </w:r>
          </w:p>
        </w:tc>
        <w:tc>
          <w:tcPr>
            <w:tcW w:w="1985" w:type="dxa"/>
            <w:vAlign w:val="top"/>
          </w:tcPr>
          <w:p>
            <w:pPr>
              <w:widowControl/>
              <w:tabs>
                <w:tab w:val="left" w:pos="0"/>
              </w:tabs>
              <w:jc w:val="center"/>
              <w:rPr>
                <w:rFonts w:ascii="黑体" w:hAnsi="黑体" w:eastAsia="黑体" w:cs="宋体"/>
                <w:sz w:val="28"/>
              </w:rPr>
            </w:pPr>
            <w:r>
              <w:rPr>
                <w:rFonts w:hint="eastAsia" w:ascii="黑体" w:hAnsi="黑体" w:eastAsia="黑体" w:cs="宋体"/>
                <w:sz w:val="28"/>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17" w:type="dxa"/>
            <w:vMerge w:val="restart"/>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国家奖</w:t>
            </w:r>
          </w:p>
        </w:tc>
        <w:tc>
          <w:tcPr>
            <w:tcW w:w="1618" w:type="dxa"/>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1843" w:type="dxa"/>
            <w:vAlign w:val="center"/>
          </w:tcPr>
          <w:p>
            <w:pPr>
              <w:widowControl/>
              <w:jc w:val="center"/>
              <w:rPr>
                <w:rFonts w:ascii="宋体" w:hAnsi="宋体" w:cs="宋体"/>
                <w:sz w:val="28"/>
              </w:rPr>
            </w:pPr>
            <w:r>
              <w:rPr>
                <w:rFonts w:hint="eastAsia" w:ascii="宋体" w:hAnsi="宋体" w:cs="宋体"/>
                <w:sz w:val="28"/>
              </w:rPr>
              <w:t>1-5</w:t>
            </w:r>
          </w:p>
          <w:p>
            <w:pPr>
              <w:widowControl/>
              <w:adjustRightInd w:val="0"/>
              <w:snapToGrid w:val="0"/>
              <w:spacing w:before="100" w:beforeAutospacing="1" w:after="100" w:afterAutospacing="1"/>
              <w:contextualSpacing/>
              <w:jc w:val="center"/>
              <w:rPr>
                <w:rFonts w:ascii="宋体" w:hAnsi="宋体" w:cs="宋体"/>
                <w:sz w:val="28"/>
              </w:rPr>
            </w:pP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30</w:t>
            </w:r>
          </w:p>
        </w:tc>
        <w:tc>
          <w:tcPr>
            <w:tcW w:w="1985" w:type="dxa"/>
            <w:vMerge w:val="restart"/>
            <w:vAlign w:val="top"/>
          </w:tcPr>
          <w:p>
            <w:pPr>
              <w:widowControl/>
              <w:shd w:val="clear" w:color="auto" w:fill="FFFFFF"/>
              <w:rPr>
                <w:rFonts w:ascii="宋体" w:hAnsi="宋体" w:cs="宋体"/>
                <w:sz w:val="28"/>
              </w:rPr>
            </w:pPr>
            <w:r>
              <w:rPr>
                <w:rFonts w:hint="eastAsia" w:ascii="宋体" w:hAnsi="宋体"/>
                <w:sz w:val="28"/>
                <w:szCs w:val="32"/>
              </w:rPr>
              <w:t>所有科研成果的所有人（单位）必须为西北农林科技大学。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17" w:type="dxa"/>
            <w:vMerge w:val="continue"/>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1618" w:type="dxa"/>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1843"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6-10</w:t>
            </w: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20</w:t>
            </w:r>
          </w:p>
        </w:tc>
        <w:tc>
          <w:tcPr>
            <w:tcW w:w="1985" w:type="dxa"/>
            <w:vMerge w:val="continue"/>
            <w:vAlign w:val="top"/>
          </w:tcPr>
          <w:p>
            <w:pPr>
              <w:widowControl/>
              <w:adjustRightInd w:val="0"/>
              <w:snapToGrid w:val="0"/>
              <w:spacing w:before="100" w:beforeAutospacing="1" w:after="100" w:afterAutospacing="1"/>
              <w:contextualSpacing/>
              <w:jc w:val="center"/>
              <w:rPr>
                <w:rFonts w:ascii="宋体" w:hAnsi="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17" w:type="dxa"/>
            <w:vMerge w:val="continue"/>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1618" w:type="dxa"/>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1843"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其余</w:t>
            </w: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10</w:t>
            </w:r>
          </w:p>
        </w:tc>
        <w:tc>
          <w:tcPr>
            <w:tcW w:w="1985" w:type="dxa"/>
            <w:vMerge w:val="continue"/>
            <w:vAlign w:val="top"/>
          </w:tcPr>
          <w:p>
            <w:pPr>
              <w:widowControl/>
              <w:adjustRightInd w:val="0"/>
              <w:snapToGrid w:val="0"/>
              <w:spacing w:before="100" w:beforeAutospacing="1" w:after="100" w:afterAutospacing="1"/>
              <w:contextualSpacing/>
              <w:jc w:val="center"/>
              <w:rPr>
                <w:rFonts w:ascii="宋体" w:hAnsi="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17" w:type="dxa"/>
            <w:vMerge w:val="restart"/>
            <w:tcBorders>
              <w:righ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省部级</w:t>
            </w: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一等奖</w:t>
            </w:r>
          </w:p>
        </w:tc>
        <w:tc>
          <w:tcPr>
            <w:tcW w:w="1843" w:type="dxa"/>
            <w:vAlign w:val="top"/>
          </w:tcPr>
          <w:p>
            <w:pPr>
              <w:widowControl/>
              <w:adjustRightInd w:val="0"/>
              <w:snapToGrid w:val="0"/>
              <w:spacing w:before="100" w:beforeAutospacing="1" w:after="100" w:afterAutospacing="1"/>
              <w:contextualSpacing/>
              <w:jc w:val="left"/>
              <w:rPr>
                <w:rFonts w:ascii="宋体" w:hAnsi="宋体" w:cs="宋体"/>
                <w:sz w:val="28"/>
              </w:rPr>
            </w:pP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10</w:t>
            </w:r>
          </w:p>
        </w:tc>
        <w:tc>
          <w:tcPr>
            <w:tcW w:w="1985" w:type="dxa"/>
            <w:vMerge w:val="continue"/>
            <w:vAlign w:val="top"/>
          </w:tcPr>
          <w:p>
            <w:pPr>
              <w:widowControl/>
              <w:adjustRightInd w:val="0"/>
              <w:snapToGrid w:val="0"/>
              <w:spacing w:before="100" w:beforeAutospacing="1" w:after="100" w:afterAutospacing="1"/>
              <w:contextualSpacing/>
              <w:jc w:val="center"/>
              <w:rPr>
                <w:rFonts w:ascii="宋体" w:hAnsi="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17" w:type="dxa"/>
            <w:vMerge w:val="continue"/>
            <w:tcBorders>
              <w:righ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二等奖</w:t>
            </w:r>
          </w:p>
        </w:tc>
        <w:tc>
          <w:tcPr>
            <w:tcW w:w="1843" w:type="dxa"/>
            <w:vAlign w:val="top"/>
          </w:tcPr>
          <w:p>
            <w:pPr>
              <w:widowControl/>
              <w:adjustRightInd w:val="0"/>
              <w:snapToGrid w:val="0"/>
              <w:spacing w:before="100" w:beforeAutospacing="1" w:after="100" w:afterAutospacing="1"/>
              <w:contextualSpacing/>
              <w:jc w:val="left"/>
              <w:rPr>
                <w:rFonts w:ascii="宋体" w:hAnsi="宋体" w:cs="宋体"/>
                <w:sz w:val="28"/>
              </w:rPr>
            </w:pP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5</w:t>
            </w:r>
          </w:p>
        </w:tc>
        <w:tc>
          <w:tcPr>
            <w:tcW w:w="1985" w:type="dxa"/>
            <w:vMerge w:val="continue"/>
            <w:vAlign w:val="top"/>
          </w:tcPr>
          <w:p>
            <w:pPr>
              <w:widowControl/>
              <w:adjustRightInd w:val="0"/>
              <w:snapToGrid w:val="0"/>
              <w:spacing w:before="100" w:beforeAutospacing="1" w:after="100" w:afterAutospacing="1"/>
              <w:contextualSpacing/>
              <w:jc w:val="center"/>
              <w:rPr>
                <w:rFonts w:ascii="宋体" w:hAnsi="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717" w:type="dxa"/>
            <w:vMerge w:val="continue"/>
            <w:tcBorders>
              <w:righ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三等奖</w:t>
            </w:r>
          </w:p>
        </w:tc>
        <w:tc>
          <w:tcPr>
            <w:tcW w:w="1843" w:type="dxa"/>
            <w:vAlign w:val="top"/>
          </w:tcPr>
          <w:p>
            <w:pPr>
              <w:widowControl/>
              <w:adjustRightInd w:val="0"/>
              <w:snapToGrid w:val="0"/>
              <w:spacing w:before="100" w:beforeAutospacing="1" w:after="100" w:afterAutospacing="1"/>
              <w:contextualSpacing/>
              <w:jc w:val="left"/>
              <w:rPr>
                <w:rFonts w:ascii="宋体" w:hAnsi="宋体" w:cs="宋体"/>
                <w:sz w:val="28"/>
              </w:rPr>
            </w:pPr>
          </w:p>
        </w:tc>
        <w:tc>
          <w:tcPr>
            <w:tcW w:w="1642"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2</w:t>
            </w:r>
          </w:p>
        </w:tc>
        <w:tc>
          <w:tcPr>
            <w:tcW w:w="1985" w:type="dxa"/>
            <w:vMerge w:val="continue"/>
            <w:vAlign w:val="top"/>
          </w:tcPr>
          <w:p>
            <w:pPr>
              <w:widowControl/>
              <w:adjustRightInd w:val="0"/>
              <w:snapToGrid w:val="0"/>
              <w:spacing w:before="100" w:beforeAutospacing="1" w:after="100" w:afterAutospacing="1"/>
              <w:contextualSpacing/>
              <w:jc w:val="center"/>
              <w:rPr>
                <w:rFonts w:ascii="宋体" w:hAnsi="宋体" w:cs="宋体"/>
                <w:sz w:val="28"/>
              </w:rPr>
            </w:pPr>
          </w:p>
        </w:tc>
      </w:tr>
    </w:tbl>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以上所有参评科研成果加分按照就高不就低原则执行，不重复加分。</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4.附加分</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（1）通过大学英语六级考试者加5分，参加托福、雅思、GRE考试，成绩分别达到90分（含）、6.5分（含）、310分（含）以上者，加10分。按照就高不就低的原则加分，不重复加分。</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（2）学位课单科成绩低于70分者，每门次减5分；</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（3）获得校级以上（含校级）优秀研究生、优秀研究生干部、优秀党员、优秀团干部、优秀团员等荣誉者（仅限硕士或博士研究生在读期间所获荣誉，以表彰文件或证书为准）每项加0.3分，可累计加分。</w:t>
      </w:r>
    </w:p>
    <w:p>
      <w:pPr>
        <w:ind w:firstLine="640" w:firstLineChars="200"/>
        <w:outlineLvl w:val="1"/>
        <w:rPr>
          <w:rFonts w:ascii="楷体_GB2312" w:eastAsia="楷体_GB2312"/>
          <w:sz w:val="32"/>
          <w:szCs w:val="32"/>
        </w:rPr>
      </w:pPr>
      <w:r>
        <w:rPr>
          <w:rFonts w:hint="eastAsia" w:ascii="楷体_GB2312" w:eastAsia="楷体_GB2312"/>
          <w:sz w:val="32"/>
          <w:szCs w:val="32"/>
        </w:rPr>
        <w:t>（二）一年级硕士研究生</w:t>
      </w:r>
    </w:p>
    <w:p>
      <w:pPr>
        <w:widowControl/>
        <w:shd w:val="clear" w:color="auto" w:fill="FFFFFF"/>
        <w:ind w:firstLine="640" w:firstLineChars="200"/>
        <w:outlineLvl w:val="2"/>
        <w:rPr>
          <w:rFonts w:ascii="仿宋_GB2312" w:hAnsi="宋体" w:eastAsia="仿宋_GB2312"/>
          <w:sz w:val="32"/>
          <w:szCs w:val="32"/>
        </w:rPr>
      </w:pPr>
      <w:r>
        <w:rPr>
          <w:rFonts w:hint="eastAsia" w:ascii="仿宋_GB2312" w:hAnsi="宋体" w:eastAsia="仿宋_GB2312"/>
          <w:sz w:val="32"/>
          <w:szCs w:val="32"/>
        </w:rPr>
        <w:t>1.学业成绩（满分为40分）</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学业成绩=本科阶段加权学分成绩×40% </w:t>
      </w:r>
    </w:p>
    <w:p>
      <w:pPr>
        <w:ind w:firstLine="640" w:firstLineChars="200"/>
        <w:rPr>
          <w:rFonts w:ascii="仿宋_GB2312" w:eastAsia="仿宋_GB2312"/>
          <w:sz w:val="32"/>
          <w:szCs w:val="32"/>
        </w:rPr>
      </w:pPr>
      <w:r>
        <w:rPr>
          <w:rFonts w:hint="eastAsia" w:ascii="仿宋_GB2312" w:hAnsi="宋体" w:eastAsia="仿宋_GB2312"/>
          <w:sz w:val="32"/>
          <w:szCs w:val="32"/>
        </w:rPr>
        <w:t>由申请人本科时所就读院校的校级教务管理部门开具申请人学分成绩证明。证明材料必须为原件（即须加盖出具证明单位的红色印章）。</w:t>
      </w:r>
    </w:p>
    <w:p>
      <w:pPr>
        <w:widowControl/>
        <w:shd w:val="clear" w:color="auto" w:fill="FFFFFF"/>
        <w:ind w:firstLine="640" w:firstLineChars="200"/>
        <w:outlineLvl w:val="2"/>
        <w:rPr>
          <w:rFonts w:ascii="仿宋_GB2312" w:hAnsi="宋体" w:eastAsia="仿宋_GB2312"/>
          <w:sz w:val="32"/>
          <w:szCs w:val="32"/>
        </w:rPr>
      </w:pPr>
      <w:r>
        <w:rPr>
          <w:rFonts w:hint="eastAsia" w:ascii="仿宋_GB2312" w:hAnsi="宋体" w:eastAsia="仿宋_GB2312"/>
          <w:sz w:val="32"/>
          <w:szCs w:val="32"/>
        </w:rPr>
        <w:t>2.科研业绩（满分为60分）</w:t>
      </w:r>
    </w:p>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（1）科研论文</w:t>
      </w:r>
    </w:p>
    <w:tbl>
      <w:tblPr>
        <w:tblStyle w:val="10"/>
        <w:tblW w:w="8569" w:type="dxa"/>
        <w:jc w:val="center"/>
        <w:tblInd w:w="-23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74"/>
        <w:gridCol w:w="1878"/>
        <w:gridCol w:w="2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29" w:hRule="atLeast"/>
          <w:jc w:val="center"/>
        </w:trPr>
        <w:tc>
          <w:tcPr>
            <w:tcW w:w="3974"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发表刊物</w:t>
            </w:r>
          </w:p>
        </w:tc>
        <w:tc>
          <w:tcPr>
            <w:tcW w:w="1878"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计分标准</w:t>
            </w:r>
          </w:p>
        </w:tc>
        <w:tc>
          <w:tcPr>
            <w:tcW w:w="2717" w:type="dxa"/>
            <w:vAlign w:val="center"/>
          </w:tcPr>
          <w:p>
            <w:pPr>
              <w:widowControl/>
              <w:tabs>
                <w:tab w:val="left" w:pos="0"/>
              </w:tabs>
              <w:jc w:val="center"/>
              <w:rPr>
                <w:rFonts w:ascii="黑体" w:hAnsi="黑体" w:eastAsia="黑体" w:cs="宋体"/>
                <w:sz w:val="28"/>
              </w:rPr>
            </w:pPr>
            <w:r>
              <w:rPr>
                <w:rFonts w:hint="eastAsia" w:ascii="黑体" w:hAnsi="黑体" w:eastAsia="黑体" w:cs="宋体"/>
                <w:sz w:val="28"/>
              </w:rPr>
              <w:t>材料认定说明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00" w:hRule="atLeast"/>
          <w:jc w:val="center"/>
        </w:trPr>
        <w:tc>
          <w:tcPr>
            <w:tcW w:w="3974" w:type="dxa"/>
            <w:vAlign w:val="center"/>
          </w:tcPr>
          <w:p>
            <w:pPr>
              <w:widowControl/>
              <w:adjustRightInd w:val="0"/>
              <w:snapToGrid w:val="0"/>
              <w:spacing w:before="100" w:beforeAutospacing="1" w:after="100" w:afterAutospacing="1"/>
              <w:contextualSpacing/>
              <w:rPr>
                <w:rFonts w:ascii="宋体" w:hAnsi="宋体" w:cs="宋体"/>
                <w:sz w:val="28"/>
              </w:rPr>
            </w:pPr>
            <w:r>
              <w:rPr>
                <w:rFonts w:hint="eastAsia" w:ascii="宋体" w:hAnsi="宋体" w:cs="宋体"/>
                <w:sz w:val="28"/>
              </w:rPr>
              <w:t>SCI论文</w:t>
            </w:r>
          </w:p>
        </w:tc>
        <w:tc>
          <w:tcPr>
            <w:tcW w:w="1878"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10 + IF</w:t>
            </w:r>
            <w:r>
              <w:rPr>
                <w:rFonts w:hint="eastAsia" w:ascii="仿宋_GB2312" w:hAnsi="宋体" w:eastAsia="仿宋_GB2312"/>
                <w:sz w:val="32"/>
                <w:szCs w:val="32"/>
              </w:rPr>
              <w:t>×</w:t>
            </w:r>
            <w:r>
              <w:rPr>
                <w:rFonts w:hint="eastAsia" w:ascii="宋体" w:hAnsi="宋体" w:cs="宋体"/>
                <w:sz w:val="28"/>
              </w:rPr>
              <w:t>5</w:t>
            </w:r>
          </w:p>
        </w:tc>
        <w:tc>
          <w:tcPr>
            <w:tcW w:w="2717" w:type="dxa"/>
            <w:vMerge w:val="restart"/>
            <w:vAlign w:val="top"/>
          </w:tcPr>
          <w:p>
            <w:pPr>
              <w:widowControl/>
              <w:shd w:val="clear" w:color="auto" w:fill="FFFFFF"/>
              <w:ind w:firstLine="480" w:firstLineChars="200"/>
              <w:rPr>
                <w:rFonts w:ascii="宋体" w:hAnsi="宋体"/>
                <w:sz w:val="24"/>
                <w:szCs w:val="32"/>
              </w:rPr>
            </w:pPr>
            <w:r>
              <w:rPr>
                <w:rFonts w:hint="eastAsia" w:ascii="宋体" w:hAnsi="宋体"/>
                <w:sz w:val="24"/>
                <w:szCs w:val="32"/>
              </w:rPr>
              <w:t>1.参与完成大学生创新创业训练计划项目（或大学生创新性实验计划项目），并以第一作者在SCI、EI或国家一级学会主办的学术研究期刊发表论文（以学校公布的国内A类、B类学术期刊名录为准）</w:t>
            </w:r>
          </w:p>
          <w:p>
            <w:pPr>
              <w:widowControl/>
              <w:shd w:val="clear" w:color="auto" w:fill="FFFFFF"/>
              <w:ind w:firstLine="480" w:firstLineChars="200"/>
              <w:rPr>
                <w:rFonts w:ascii="宋体" w:hAnsi="宋体"/>
                <w:sz w:val="24"/>
                <w:szCs w:val="32"/>
              </w:rPr>
            </w:pPr>
            <w:r>
              <w:rPr>
                <w:rFonts w:hint="eastAsia" w:ascii="宋体" w:hAnsi="宋体"/>
                <w:sz w:val="24"/>
                <w:szCs w:val="32"/>
              </w:rPr>
              <w:t>2.SCI论文必须正式发表或可网上在线（online）查询，其余论文一律要求正式发表见刊（申请者必须提供论文原件、检索证明或网上在线全文打印件，并经导师签字认定）。</w:t>
            </w:r>
          </w:p>
          <w:p>
            <w:pPr>
              <w:widowControl/>
              <w:shd w:val="clear" w:color="auto" w:fill="FFFFFF"/>
              <w:ind w:firstLine="480" w:firstLineChars="200"/>
              <w:rPr>
                <w:rFonts w:ascii="楷体_GB2312" w:hAnsi="宋体" w:eastAsia="楷体_GB2312"/>
                <w:b/>
                <w:color w:val="FF0000"/>
                <w:sz w:val="24"/>
                <w:szCs w:val="32"/>
              </w:rPr>
            </w:pPr>
            <w:r>
              <w:rPr>
                <w:rFonts w:hint="eastAsia" w:ascii="宋体" w:hAnsi="宋体"/>
                <w:sz w:val="24"/>
                <w:szCs w:val="32"/>
              </w:rPr>
              <w:t>3.文章要求申请人导师为通讯作者之一，所就读学校为第一署名单位。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91" w:hRule="atLeast"/>
          <w:jc w:val="center"/>
        </w:trPr>
        <w:tc>
          <w:tcPr>
            <w:tcW w:w="3974" w:type="dxa"/>
            <w:vAlign w:val="center"/>
          </w:tcPr>
          <w:p>
            <w:pPr>
              <w:widowControl/>
              <w:adjustRightInd w:val="0"/>
              <w:snapToGrid w:val="0"/>
              <w:spacing w:before="100" w:beforeAutospacing="1" w:after="100" w:afterAutospacing="1"/>
              <w:contextualSpacing/>
              <w:rPr>
                <w:rFonts w:ascii="宋体" w:hAnsi="宋体" w:cs="宋体"/>
                <w:sz w:val="28"/>
              </w:rPr>
            </w:pPr>
            <w:r>
              <w:rPr>
                <w:rFonts w:hint="eastAsia" w:ascii="宋体" w:hAnsi="宋体" w:cs="宋体"/>
                <w:sz w:val="28"/>
              </w:rPr>
              <w:t>EI论文</w:t>
            </w:r>
          </w:p>
        </w:tc>
        <w:tc>
          <w:tcPr>
            <w:tcW w:w="1878" w:type="dxa"/>
            <w:vAlign w:val="center"/>
          </w:tcPr>
          <w:p>
            <w:pPr>
              <w:widowControl/>
              <w:adjustRightInd w:val="0"/>
              <w:snapToGrid w:val="0"/>
              <w:spacing w:before="100" w:beforeAutospacing="1" w:after="100" w:afterAutospacing="1"/>
              <w:ind w:firstLine="700" w:firstLineChars="250"/>
              <w:contextualSpacing/>
              <w:rPr>
                <w:rFonts w:ascii="宋体" w:hAnsi="宋体" w:cs="宋体"/>
                <w:sz w:val="28"/>
              </w:rPr>
            </w:pPr>
            <w:r>
              <w:rPr>
                <w:rFonts w:hint="eastAsia" w:ascii="宋体" w:hAnsi="宋体" w:cs="宋体"/>
                <w:sz w:val="28"/>
              </w:rPr>
              <w:t>8</w:t>
            </w:r>
          </w:p>
        </w:tc>
        <w:tc>
          <w:tcPr>
            <w:tcW w:w="2717" w:type="dxa"/>
            <w:vMerge w:val="continue"/>
            <w:vAlign w:val="top"/>
          </w:tcPr>
          <w:p>
            <w:pPr>
              <w:widowControl/>
              <w:shd w:val="clear" w:color="auto" w:fill="FFFFFF"/>
              <w:ind w:firstLine="720" w:firstLineChars="200"/>
              <w:rPr>
                <w:rFonts w:ascii="仿宋_GB2312" w:hAnsi="宋体" w:eastAsia="仿宋_GB2312"/>
                <w:sz w:val="3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06" w:hRule="atLeast"/>
          <w:jc w:val="center"/>
        </w:trPr>
        <w:tc>
          <w:tcPr>
            <w:tcW w:w="3974" w:type="dxa"/>
            <w:vAlign w:val="center"/>
          </w:tcPr>
          <w:p>
            <w:pPr>
              <w:widowControl/>
              <w:adjustRightInd w:val="0"/>
              <w:snapToGrid w:val="0"/>
              <w:spacing w:before="100" w:beforeAutospacing="1" w:after="100" w:afterAutospacing="1"/>
              <w:contextualSpacing/>
              <w:rPr>
                <w:rFonts w:ascii="宋体" w:hAnsi="宋体" w:cs="宋体"/>
                <w:sz w:val="28"/>
              </w:rPr>
            </w:pPr>
            <w:r>
              <w:rPr>
                <w:rFonts w:hint="eastAsia" w:ascii="宋体" w:hAnsi="宋体" w:cs="宋体"/>
                <w:sz w:val="28"/>
              </w:rPr>
              <w:t>学校认定的国内A类学术期刊</w:t>
            </w:r>
          </w:p>
        </w:tc>
        <w:tc>
          <w:tcPr>
            <w:tcW w:w="1878" w:type="dxa"/>
            <w:vAlign w:val="center"/>
          </w:tcPr>
          <w:p>
            <w:pPr>
              <w:widowControl/>
              <w:adjustRightInd w:val="0"/>
              <w:snapToGrid w:val="0"/>
              <w:spacing w:before="100" w:beforeAutospacing="1" w:after="100" w:afterAutospacing="1"/>
              <w:ind w:firstLine="700" w:firstLineChars="250"/>
              <w:contextualSpacing/>
              <w:rPr>
                <w:rFonts w:ascii="宋体" w:hAnsi="宋体" w:cs="宋体"/>
                <w:sz w:val="28"/>
              </w:rPr>
            </w:pPr>
            <w:r>
              <w:rPr>
                <w:rFonts w:hint="eastAsia" w:ascii="宋体" w:hAnsi="宋体" w:cs="宋体"/>
                <w:sz w:val="28"/>
              </w:rPr>
              <w:t>6</w:t>
            </w:r>
          </w:p>
        </w:tc>
        <w:tc>
          <w:tcPr>
            <w:tcW w:w="2717" w:type="dxa"/>
            <w:vMerge w:val="continue"/>
            <w:vAlign w:val="top"/>
          </w:tcPr>
          <w:p>
            <w:pPr>
              <w:widowControl/>
              <w:shd w:val="clear" w:color="auto" w:fill="FFFFFF"/>
              <w:ind w:firstLine="720" w:firstLineChars="200"/>
              <w:rPr>
                <w:rFonts w:ascii="仿宋_GB2312" w:hAnsi="宋体" w:eastAsia="仿宋_GB2312"/>
                <w:sz w:val="3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30" w:hRule="atLeast"/>
          <w:jc w:val="center"/>
        </w:trPr>
        <w:tc>
          <w:tcPr>
            <w:tcW w:w="3974" w:type="dxa"/>
            <w:vAlign w:val="center"/>
          </w:tcPr>
          <w:p>
            <w:pPr>
              <w:widowControl/>
              <w:adjustRightInd w:val="0"/>
              <w:snapToGrid w:val="0"/>
              <w:spacing w:before="100" w:beforeAutospacing="1" w:after="100" w:afterAutospacing="1"/>
              <w:contextualSpacing/>
              <w:rPr>
                <w:rFonts w:ascii="宋体" w:hAnsi="宋体" w:cs="宋体"/>
                <w:sz w:val="28"/>
              </w:rPr>
            </w:pPr>
            <w:r>
              <w:rPr>
                <w:rFonts w:hint="eastAsia" w:ascii="宋体" w:hAnsi="宋体" w:cs="宋体"/>
                <w:sz w:val="28"/>
              </w:rPr>
              <w:t>学校认定的国内B类学术期刊</w:t>
            </w:r>
          </w:p>
        </w:tc>
        <w:tc>
          <w:tcPr>
            <w:tcW w:w="1878" w:type="dxa"/>
            <w:vAlign w:val="center"/>
          </w:tcPr>
          <w:p>
            <w:pPr>
              <w:widowControl/>
              <w:adjustRightInd w:val="0"/>
              <w:snapToGrid w:val="0"/>
              <w:spacing w:before="100" w:beforeAutospacing="1" w:after="100" w:afterAutospacing="1"/>
              <w:ind w:firstLine="700" w:firstLineChars="250"/>
              <w:contextualSpacing/>
              <w:rPr>
                <w:rFonts w:ascii="宋体" w:hAnsi="宋体" w:cs="宋体"/>
                <w:sz w:val="28"/>
              </w:rPr>
            </w:pPr>
            <w:r>
              <w:rPr>
                <w:rFonts w:hint="eastAsia" w:ascii="宋体" w:hAnsi="宋体" w:cs="宋体"/>
                <w:sz w:val="28"/>
              </w:rPr>
              <w:t>2</w:t>
            </w:r>
          </w:p>
        </w:tc>
        <w:tc>
          <w:tcPr>
            <w:tcW w:w="2717" w:type="dxa"/>
            <w:vMerge w:val="continue"/>
            <w:vAlign w:val="top"/>
          </w:tcPr>
          <w:p>
            <w:pPr>
              <w:widowControl/>
              <w:shd w:val="clear" w:color="auto" w:fill="FFFFFF"/>
              <w:ind w:firstLine="720" w:firstLineChars="200"/>
              <w:rPr>
                <w:rFonts w:ascii="仿宋_GB2312" w:hAnsi="宋体" w:eastAsia="仿宋_GB2312"/>
                <w:sz w:val="36"/>
                <w:szCs w:val="32"/>
              </w:rPr>
            </w:pPr>
          </w:p>
        </w:tc>
      </w:tr>
    </w:tbl>
    <w:p>
      <w:pPr>
        <w:widowControl/>
        <w:shd w:val="clear" w:color="auto" w:fill="FFFFFF"/>
        <w:ind w:firstLine="640" w:firstLineChars="200"/>
        <w:outlineLvl w:val="3"/>
        <w:rPr>
          <w:rFonts w:ascii="仿宋_GB2312" w:hAnsi="宋体" w:eastAsia="仿宋_GB2312"/>
          <w:sz w:val="32"/>
          <w:szCs w:val="32"/>
        </w:rPr>
      </w:pPr>
      <w:r>
        <w:rPr>
          <w:rFonts w:hint="eastAsia" w:ascii="仿宋_GB2312" w:hAnsi="宋体" w:eastAsia="仿宋_GB2312"/>
          <w:sz w:val="32"/>
          <w:szCs w:val="32"/>
        </w:rPr>
        <w:t>（2）发明专利</w:t>
      </w:r>
    </w:p>
    <w:tbl>
      <w:tblPr>
        <w:tblStyle w:val="10"/>
        <w:tblW w:w="8729" w:type="dxa"/>
        <w:jc w:val="center"/>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1"/>
        <w:gridCol w:w="2017"/>
        <w:gridCol w:w="3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567" w:hRule="exact"/>
          <w:jc w:val="center"/>
        </w:trPr>
        <w:tc>
          <w:tcPr>
            <w:tcW w:w="3131"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作者排名顺序</w:t>
            </w:r>
          </w:p>
        </w:tc>
        <w:tc>
          <w:tcPr>
            <w:tcW w:w="2017" w:type="dxa"/>
            <w:vAlign w:val="center"/>
          </w:tcPr>
          <w:p>
            <w:pPr>
              <w:widowControl/>
              <w:tabs>
                <w:tab w:val="left" w:pos="0"/>
              </w:tabs>
              <w:jc w:val="center"/>
              <w:rPr>
                <w:rFonts w:ascii="黑体" w:hAnsi="黑体" w:eastAsia="黑体"/>
                <w:sz w:val="28"/>
              </w:rPr>
            </w:pPr>
            <w:r>
              <w:rPr>
                <w:rFonts w:hint="eastAsia" w:ascii="黑体" w:hAnsi="黑体" w:eastAsia="黑体" w:cs="宋体"/>
                <w:sz w:val="28"/>
              </w:rPr>
              <w:t>计分标准</w:t>
            </w:r>
          </w:p>
        </w:tc>
        <w:tc>
          <w:tcPr>
            <w:tcW w:w="3581" w:type="dxa"/>
            <w:vAlign w:val="center"/>
          </w:tcPr>
          <w:p>
            <w:pPr>
              <w:widowControl/>
              <w:tabs>
                <w:tab w:val="left" w:pos="0"/>
              </w:tabs>
              <w:jc w:val="center"/>
              <w:rPr>
                <w:rFonts w:ascii="黑体" w:hAnsi="黑体" w:eastAsia="黑体" w:cs="宋体"/>
                <w:sz w:val="28"/>
              </w:rPr>
            </w:pPr>
            <w:r>
              <w:rPr>
                <w:rFonts w:hint="eastAsia" w:ascii="黑体" w:hAnsi="黑体" w:eastAsia="黑体" w:cs="宋体"/>
                <w:sz w:val="28"/>
              </w:rPr>
              <w:t>计分说明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第一名</w:t>
            </w:r>
          </w:p>
        </w:tc>
        <w:tc>
          <w:tcPr>
            <w:tcW w:w="2017"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5</w:t>
            </w:r>
          </w:p>
        </w:tc>
        <w:tc>
          <w:tcPr>
            <w:tcW w:w="3581" w:type="dxa"/>
            <w:vMerge w:val="restart"/>
            <w:vAlign w:val="center"/>
          </w:tcPr>
          <w:p>
            <w:pPr>
              <w:widowControl/>
              <w:shd w:val="clear" w:color="auto" w:fill="FFFFFF"/>
              <w:rPr>
                <w:rFonts w:ascii="宋体" w:hAnsi="宋体"/>
                <w:sz w:val="24"/>
                <w:szCs w:val="32"/>
              </w:rPr>
            </w:pPr>
            <w:r>
              <w:rPr>
                <w:rFonts w:hint="eastAsia" w:ascii="宋体" w:hAnsi="宋体"/>
                <w:sz w:val="28"/>
                <w:szCs w:val="32"/>
              </w:rPr>
              <w:t>获批专利权人须为本科就读学校的国家发明专利者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第二名</w:t>
            </w:r>
          </w:p>
        </w:tc>
        <w:tc>
          <w:tcPr>
            <w:tcW w:w="2017" w:type="dxa"/>
            <w:vAlign w:val="center"/>
          </w:tcPr>
          <w:p>
            <w:pPr>
              <w:widowControl/>
              <w:adjustRightInd w:val="0"/>
              <w:snapToGrid w:val="0"/>
              <w:spacing w:before="100" w:beforeAutospacing="1" w:after="100" w:afterAutospacing="1"/>
              <w:ind w:firstLine="840" w:firstLineChars="300"/>
              <w:contextualSpacing/>
              <w:rPr>
                <w:rFonts w:ascii="宋体" w:hAnsi="宋体" w:cs="宋体"/>
                <w:sz w:val="28"/>
              </w:rPr>
            </w:pPr>
            <w:r>
              <w:rPr>
                <w:rFonts w:hint="eastAsia" w:ascii="宋体" w:hAnsi="宋体" w:cs="宋体"/>
                <w:sz w:val="28"/>
              </w:rPr>
              <w:t>3</w:t>
            </w:r>
          </w:p>
        </w:tc>
        <w:tc>
          <w:tcPr>
            <w:tcW w:w="3581" w:type="dxa"/>
            <w:vMerge w:val="continue"/>
            <w:vAlign w:val="top"/>
          </w:tcPr>
          <w:p>
            <w:pPr>
              <w:widowControl/>
              <w:shd w:val="clear" w:color="auto" w:fill="FFFFFF"/>
              <w:ind w:firstLine="720" w:firstLineChars="200"/>
              <w:rPr>
                <w:rFonts w:ascii="仿宋_GB2312" w:hAnsi="宋体" w:eastAsia="仿宋_GB2312"/>
                <w:sz w:val="3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3131"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第三名</w:t>
            </w:r>
          </w:p>
        </w:tc>
        <w:tc>
          <w:tcPr>
            <w:tcW w:w="2017" w:type="dxa"/>
            <w:vAlign w:val="center"/>
          </w:tcPr>
          <w:p>
            <w:pPr>
              <w:widowControl/>
              <w:adjustRightInd w:val="0"/>
              <w:snapToGrid w:val="0"/>
              <w:spacing w:before="100" w:beforeAutospacing="1" w:after="100" w:afterAutospacing="1"/>
              <w:ind w:firstLine="840" w:firstLineChars="300"/>
              <w:contextualSpacing/>
              <w:rPr>
                <w:rFonts w:ascii="宋体" w:hAnsi="宋体" w:cs="宋体"/>
                <w:sz w:val="28"/>
              </w:rPr>
            </w:pPr>
            <w:r>
              <w:rPr>
                <w:rFonts w:hint="eastAsia" w:ascii="宋体" w:hAnsi="宋体" w:cs="宋体"/>
                <w:sz w:val="28"/>
              </w:rPr>
              <w:t>1</w:t>
            </w:r>
          </w:p>
        </w:tc>
        <w:tc>
          <w:tcPr>
            <w:tcW w:w="3581" w:type="dxa"/>
            <w:vMerge w:val="continue"/>
            <w:vAlign w:val="top"/>
          </w:tcPr>
          <w:p>
            <w:pPr>
              <w:widowControl/>
              <w:shd w:val="clear" w:color="auto" w:fill="FFFFFF"/>
              <w:ind w:firstLine="720" w:firstLineChars="200"/>
              <w:rPr>
                <w:rFonts w:ascii="仿宋_GB2312" w:hAnsi="宋体" w:eastAsia="仿宋_GB2312"/>
                <w:sz w:val="36"/>
                <w:szCs w:val="32"/>
              </w:rPr>
            </w:pPr>
          </w:p>
        </w:tc>
      </w:tr>
    </w:tbl>
    <w:p>
      <w:pPr>
        <w:widowControl/>
        <w:shd w:val="clear" w:color="auto" w:fill="FFFFFF"/>
        <w:ind w:firstLine="640" w:firstLineChars="200"/>
        <w:outlineLvl w:val="2"/>
        <w:rPr>
          <w:rFonts w:ascii="仿宋_GB2312" w:hAnsi="宋体" w:eastAsia="仿宋_GB2312"/>
          <w:sz w:val="32"/>
          <w:szCs w:val="32"/>
        </w:rPr>
      </w:pPr>
      <w:r>
        <w:rPr>
          <w:rFonts w:hint="eastAsia" w:ascii="仿宋_GB2312" w:hAnsi="宋体" w:eastAsia="仿宋_GB2312"/>
          <w:sz w:val="32"/>
          <w:szCs w:val="32"/>
        </w:rPr>
        <w:t>3.附加分</w:t>
      </w:r>
    </w:p>
    <w:p>
      <w:pPr>
        <w:spacing w:line="600" w:lineRule="exact"/>
        <w:ind w:firstLine="640" w:firstLineChars="200"/>
        <w:rPr>
          <w:rFonts w:ascii="楷体_GB2312" w:hAnsi="宋体" w:eastAsia="楷体_GB2312"/>
          <w:b/>
          <w:color w:val="FF0000"/>
          <w:sz w:val="32"/>
          <w:szCs w:val="32"/>
        </w:rPr>
      </w:pPr>
      <w:r>
        <w:rPr>
          <w:rFonts w:hint="eastAsia" w:ascii="仿宋_GB2312" w:eastAsia="仿宋_GB2312"/>
          <w:sz w:val="32"/>
          <w:szCs w:val="32"/>
        </w:rPr>
        <w:t>（1）申请人为推荐免试攻读研究生者，加10分。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获得国家级学术科技竞赛特等、一等（金奖）和二等奖（银奖），其中特等奖排序前3名，一等奖排序前2名，二等奖排序第1名者按以下标准进行加分。</w:t>
      </w:r>
    </w:p>
    <w:tbl>
      <w:tblPr>
        <w:tblStyle w:val="10"/>
        <w:tblW w:w="8594" w:type="dxa"/>
        <w:jc w:val="center"/>
        <w:tblInd w:w="-3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2"/>
        <w:gridCol w:w="2849"/>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42" w:type="dxa"/>
            <w:vAlign w:val="top"/>
          </w:tcPr>
          <w:p>
            <w:pPr>
              <w:widowControl/>
              <w:tabs>
                <w:tab w:val="left" w:pos="0"/>
              </w:tabs>
              <w:jc w:val="center"/>
              <w:rPr>
                <w:rFonts w:ascii="黑体" w:hAnsi="黑体" w:eastAsia="黑体" w:cs="宋体"/>
                <w:sz w:val="28"/>
              </w:rPr>
            </w:pPr>
            <w:r>
              <w:rPr>
                <w:rFonts w:hint="eastAsia" w:ascii="黑体" w:hAnsi="黑体" w:eastAsia="黑体" w:cs="宋体"/>
                <w:sz w:val="28"/>
              </w:rPr>
              <w:t>获奖等级</w:t>
            </w:r>
          </w:p>
        </w:tc>
        <w:tc>
          <w:tcPr>
            <w:tcW w:w="2849" w:type="dxa"/>
            <w:vAlign w:val="top"/>
          </w:tcPr>
          <w:p>
            <w:pPr>
              <w:widowControl/>
              <w:tabs>
                <w:tab w:val="left" w:pos="0"/>
              </w:tabs>
              <w:jc w:val="center"/>
              <w:rPr>
                <w:rFonts w:ascii="黑体" w:hAnsi="黑体" w:eastAsia="黑体" w:cs="宋体"/>
                <w:sz w:val="28"/>
              </w:rPr>
            </w:pPr>
            <w:r>
              <w:rPr>
                <w:rFonts w:hint="eastAsia" w:ascii="黑体" w:hAnsi="黑体" w:eastAsia="黑体" w:cs="宋体"/>
                <w:sz w:val="28"/>
              </w:rPr>
              <w:t>排名顺序</w:t>
            </w:r>
          </w:p>
        </w:tc>
        <w:tc>
          <w:tcPr>
            <w:tcW w:w="2603" w:type="dxa"/>
            <w:vAlign w:val="top"/>
          </w:tcPr>
          <w:p>
            <w:pPr>
              <w:widowControl/>
              <w:tabs>
                <w:tab w:val="left" w:pos="0"/>
              </w:tabs>
              <w:jc w:val="center"/>
              <w:rPr>
                <w:rFonts w:ascii="黑体" w:hAnsi="黑体" w:eastAsia="黑体" w:cs="宋体"/>
                <w:sz w:val="28"/>
              </w:rPr>
            </w:pPr>
            <w:r>
              <w:rPr>
                <w:rFonts w:hint="eastAsia" w:ascii="黑体" w:hAnsi="黑体" w:eastAsia="黑体" w:cs="宋体"/>
                <w:sz w:val="28"/>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42" w:type="dxa"/>
            <w:vMerge w:val="restart"/>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特等奖</w:t>
            </w:r>
          </w:p>
        </w:tc>
        <w:tc>
          <w:tcPr>
            <w:tcW w:w="2849" w:type="dxa"/>
            <w:vAlign w:val="center"/>
          </w:tcPr>
          <w:p>
            <w:pPr>
              <w:widowControl/>
              <w:jc w:val="center"/>
              <w:rPr>
                <w:rFonts w:ascii="宋体" w:hAnsi="宋体" w:cs="宋体"/>
                <w:sz w:val="28"/>
              </w:rPr>
            </w:pPr>
            <w:r>
              <w:rPr>
                <w:rFonts w:hint="eastAsia" w:ascii="宋体" w:hAnsi="宋体" w:cs="宋体"/>
                <w:sz w:val="28"/>
              </w:rPr>
              <w:t>1</w:t>
            </w:r>
          </w:p>
          <w:p>
            <w:pPr>
              <w:widowControl/>
              <w:adjustRightInd w:val="0"/>
              <w:snapToGrid w:val="0"/>
              <w:spacing w:before="100" w:beforeAutospacing="1" w:after="100" w:afterAutospacing="1"/>
              <w:contextualSpacing/>
              <w:jc w:val="center"/>
              <w:rPr>
                <w:rFonts w:ascii="宋体" w:hAnsi="宋体" w:cs="宋体"/>
                <w:sz w:val="28"/>
              </w:rPr>
            </w:pP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2</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3</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42" w:type="dxa"/>
            <w:vMerge w:val="restart"/>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一等奖（金奖）</w:t>
            </w: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42" w:type="dxa"/>
            <w:vMerge w:val="continue"/>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2</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42"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二等奖（银奖）</w:t>
            </w:r>
          </w:p>
        </w:tc>
        <w:tc>
          <w:tcPr>
            <w:tcW w:w="2849"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w:t>
            </w:r>
          </w:p>
        </w:tc>
        <w:tc>
          <w:tcPr>
            <w:tcW w:w="2603" w:type="dxa"/>
            <w:vAlign w:val="center"/>
          </w:tcPr>
          <w:p>
            <w:pPr>
              <w:widowControl/>
              <w:adjustRightInd w:val="0"/>
              <w:snapToGrid w:val="0"/>
              <w:spacing w:before="100" w:beforeAutospacing="1" w:after="100" w:afterAutospacing="1"/>
              <w:contextualSpacing/>
              <w:jc w:val="center"/>
              <w:rPr>
                <w:rFonts w:ascii="宋体" w:hAnsi="宋体" w:cs="宋体"/>
                <w:sz w:val="28"/>
              </w:rPr>
            </w:pPr>
            <w:r>
              <w:rPr>
                <w:rFonts w:hint="eastAsia" w:ascii="宋体" w:hAnsi="宋体" w:cs="宋体"/>
                <w:sz w:val="28"/>
              </w:rPr>
              <w:t>10</w:t>
            </w:r>
          </w:p>
        </w:tc>
      </w:tr>
    </w:tbl>
    <w:p>
      <w:pPr>
        <w:ind w:firstLine="640" w:firstLineChars="200"/>
        <w:rPr>
          <w:rFonts w:ascii="仿宋_GB2312" w:eastAsia="仿宋_GB2312"/>
          <w:sz w:val="32"/>
          <w:szCs w:val="32"/>
        </w:rPr>
      </w:pPr>
      <w:r>
        <w:rPr>
          <w:rFonts w:hint="eastAsia" w:ascii="楷体_GB2312" w:eastAsia="楷体_GB2312"/>
          <w:color w:val="000000"/>
          <w:sz w:val="32"/>
          <w:szCs w:val="32"/>
        </w:rPr>
        <w:t>（3）</w:t>
      </w:r>
      <w:r>
        <w:rPr>
          <w:rFonts w:hint="eastAsia" w:ascii="仿宋_GB2312" w:eastAsia="仿宋_GB2312"/>
          <w:sz w:val="32"/>
          <w:szCs w:val="32"/>
        </w:rPr>
        <w:t>通过大学英语六级考试者加5分，参加托福、雅思、GRE考试，成绩分别达到90分（含）、6.5分（含）、310分（含）以上者，加10分。按照就高不就低的原则加分，不重复加分。</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（三）一年级博士研究生</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1.学业成绩（满分为40分）</w:t>
      </w:r>
    </w:p>
    <w:p>
      <w:pPr>
        <w:ind w:firstLine="640" w:firstLineChars="200"/>
        <w:rPr>
          <w:rFonts w:ascii="仿宋_GB2312" w:hAnsi="宋体" w:eastAsia="仿宋_GB2312"/>
          <w:sz w:val="32"/>
          <w:szCs w:val="32"/>
        </w:rPr>
      </w:pPr>
      <w:r>
        <w:rPr>
          <w:rFonts w:hint="eastAsia" w:ascii="仿宋_GB2312" w:hAnsi="宋体" w:eastAsia="仿宋_GB2312"/>
          <w:sz w:val="32"/>
          <w:szCs w:val="32"/>
        </w:rPr>
        <w:t>学业成绩=学位课加权平均分×40%。</w:t>
      </w:r>
    </w:p>
    <w:p>
      <w:pPr>
        <w:ind w:firstLine="640" w:firstLineChars="200"/>
        <w:rPr>
          <w:rFonts w:ascii="仿宋_GB2312" w:hAnsi="宋体" w:eastAsia="仿宋_GB2312"/>
          <w:sz w:val="32"/>
          <w:szCs w:val="32"/>
        </w:rPr>
      </w:pPr>
      <w:r>
        <w:rPr>
          <w:rFonts w:hint="eastAsia" w:ascii="仿宋_GB2312" w:hAnsi="宋体" w:eastAsia="仿宋_GB2312"/>
          <w:sz w:val="32"/>
          <w:szCs w:val="32"/>
        </w:rPr>
        <w:t>由申请人硕士研究生时所就读院校的研究生院或校级教务管理部门开具申请人学分成绩证明。证明材料必须为成绩单原件（即须加盖出具证明单位的红色印章）。</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2.科研业绩（满分为60分）</w:t>
      </w:r>
    </w:p>
    <w:p>
      <w:pPr>
        <w:ind w:firstLine="640" w:firstLineChars="200"/>
        <w:rPr>
          <w:rFonts w:ascii="仿宋_GB2312" w:eastAsia="仿宋_GB2312"/>
          <w:color w:val="000000"/>
          <w:sz w:val="32"/>
          <w:szCs w:val="32"/>
        </w:rPr>
      </w:pPr>
      <w:r>
        <w:rPr>
          <w:rFonts w:hint="eastAsia" w:ascii="仿宋_GB2312" w:hAnsi="宋体" w:eastAsia="仿宋_GB2312"/>
          <w:sz w:val="32"/>
          <w:szCs w:val="32"/>
        </w:rPr>
        <w:t>参照</w:t>
      </w:r>
      <w:r>
        <w:rPr>
          <w:rFonts w:hint="eastAsia" w:ascii="仿宋_GB2312" w:eastAsia="仿宋_GB2312"/>
          <w:color w:val="000000"/>
          <w:sz w:val="32"/>
          <w:szCs w:val="32"/>
        </w:rPr>
        <w:t>高年级博士研究生的评审指标体系执行。</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其中，申请人所提交申请材料的认定时间范围为申请人硕士研究生就读期间，文章要求申请人导师为通讯作者之一，所就读学校为第一署名单位，获批专利权人须为硕士研究生阶段就读学校的国家发明专利者，申请人所提交的申请材料必须与申请人研究方向一致。  </w:t>
      </w:r>
    </w:p>
    <w:p>
      <w:pPr>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3.附加分</w:t>
      </w:r>
    </w:p>
    <w:p>
      <w:pPr>
        <w:ind w:firstLine="640" w:firstLineChars="200"/>
        <w:rPr>
          <w:rFonts w:ascii="仿宋_GB2312" w:hAnsi="宋体" w:eastAsia="仿宋_GB2312"/>
          <w:sz w:val="32"/>
          <w:szCs w:val="32"/>
        </w:rPr>
      </w:pPr>
      <w:r>
        <w:rPr>
          <w:rFonts w:hint="eastAsia" w:ascii="仿宋_GB2312" w:hAnsi="宋体" w:eastAsia="仿宋_GB2312"/>
          <w:sz w:val="32"/>
          <w:szCs w:val="32"/>
        </w:rPr>
        <w:t>参照</w:t>
      </w:r>
      <w:r>
        <w:rPr>
          <w:rFonts w:hint="eastAsia" w:ascii="仿宋_GB2312" w:eastAsia="仿宋_GB2312"/>
          <w:color w:val="000000"/>
          <w:sz w:val="32"/>
          <w:szCs w:val="32"/>
        </w:rPr>
        <w:t>高年级博士研究生的评审指标体系执行。</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（四）二年级专业型硕士研究生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二年级专业型硕士研究生评审指标体系参照高年级学术型硕士研究生的评审指标体系执行。</w:t>
      </w:r>
    </w:p>
    <w:p>
      <w:pPr>
        <w:ind w:firstLine="640" w:firstLineChars="200"/>
        <w:outlineLvl w:val="0"/>
        <w:rPr>
          <w:rFonts w:ascii="黑体" w:hAnsi="宋体" w:eastAsia="黑体" w:cs="Times New Roman"/>
          <w:sz w:val="32"/>
          <w:szCs w:val="32"/>
        </w:rPr>
      </w:pPr>
      <w:r>
        <w:rPr>
          <w:rFonts w:hint="eastAsia" w:ascii="黑体" w:hAnsi="宋体" w:eastAsia="黑体" w:cs="Times New Roman"/>
          <w:sz w:val="32"/>
          <w:szCs w:val="32"/>
        </w:rPr>
        <w:t>五、评审程序</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（一）本人申请</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申请者需如实填写《生命科学学院研究生各类奖助学金评定打分表》并提供有关证明材料，经导师签署意见后向学院提出申请。</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（二）材料审核、认定与成绩核算</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学院组织导师代表、学生代表及工作人员对学生提交的材料进行审核与认定（学习成绩由学院研究生秘书负责审核与认定；论文发表情况、发明专利由导师代表审核与认定；德育部分相关内容由学院研究生辅导员与学生代表负责审核与认定）。</w:t>
      </w:r>
    </w:p>
    <w:p>
      <w:pPr>
        <w:ind w:firstLine="640" w:firstLineChars="200"/>
        <w:rPr>
          <w:rFonts w:ascii="仿宋_GB2312" w:hAnsi="宋体" w:eastAsia="仿宋_GB2312"/>
          <w:sz w:val="32"/>
          <w:szCs w:val="32"/>
        </w:rPr>
      </w:pPr>
      <w:r>
        <w:rPr>
          <w:rFonts w:hint="eastAsia" w:ascii="仿宋_GB2312" w:hAnsi="宋体" w:eastAsia="仿宋_GB2312" w:cs="Times New Roman"/>
          <w:sz w:val="32"/>
          <w:szCs w:val="32"/>
        </w:rPr>
        <w:t>2.学院评审工作领导小组根据评定指标体系和评分标准核算成绩</w:t>
      </w:r>
      <w:r>
        <w:rPr>
          <w:rFonts w:hint="eastAsia" w:ascii="仿宋_GB2312" w:hAnsi="宋体" w:eastAsia="仿宋_GB2312"/>
          <w:sz w:val="32"/>
          <w:szCs w:val="32"/>
        </w:rPr>
        <w:t>。</w:t>
      </w:r>
    </w:p>
    <w:p>
      <w:pPr>
        <w:ind w:firstLine="640" w:firstLineChars="200"/>
        <w:rPr>
          <w:rFonts w:ascii="仿宋_GB2312" w:eastAsia="仿宋_GB2312"/>
          <w:color w:val="000000"/>
          <w:sz w:val="32"/>
          <w:szCs w:val="32"/>
        </w:rPr>
      </w:pPr>
      <w:r>
        <w:rPr>
          <w:rFonts w:hint="eastAsia" w:ascii="仿宋_GB2312" w:hAnsi="宋体" w:eastAsia="仿宋_GB2312"/>
          <w:sz w:val="32"/>
          <w:szCs w:val="32"/>
        </w:rPr>
        <w:t>3.根据核算成绩的高低顺序对</w:t>
      </w:r>
      <w:r>
        <w:rPr>
          <w:rFonts w:hint="eastAsia" w:ascii="仿宋_GB2312" w:eastAsia="仿宋_GB2312"/>
          <w:color w:val="000000"/>
          <w:sz w:val="32"/>
          <w:szCs w:val="32"/>
        </w:rPr>
        <w:t>申请人按照（1）一年级硕士研究生，（2）高年级学术型硕士研究生，（3）二年级专业型硕士研究生，（4）一年级博士研究生，（5）高年级博士研究生等五个类别进行排序。</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4.按照每个类别指标数200%的比例确定答辩对象，其中每个学科点在每个类别内进入答辩环节的人数不超过2人。</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（三）评审答辩</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1.每位答辩对象的答辩时间为5分钟；答辩对象按照相应指标体系内容进行申请情况陈述，重点陈述科研情况。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2.教授委员会根据申请人答辩情况进行投票，确定最终获奖人选。</w:t>
      </w:r>
    </w:p>
    <w:p>
      <w:pPr>
        <w:ind w:firstLine="640" w:firstLineChars="200"/>
        <w:outlineLvl w:val="1"/>
        <w:rPr>
          <w:rFonts w:ascii="楷体_GB2312" w:eastAsia="楷体_GB2312"/>
          <w:color w:val="000000"/>
          <w:sz w:val="32"/>
          <w:szCs w:val="32"/>
        </w:rPr>
      </w:pPr>
      <w:r>
        <w:rPr>
          <w:rFonts w:hint="eastAsia" w:ascii="楷体_GB2312" w:eastAsia="楷体_GB2312"/>
          <w:color w:val="000000"/>
          <w:sz w:val="32"/>
          <w:szCs w:val="32"/>
        </w:rPr>
        <w:t>（四）公示与裁决</w:t>
      </w:r>
    </w:p>
    <w:p>
      <w:pPr>
        <w:ind w:firstLine="640" w:firstLineChars="200"/>
        <w:rPr>
          <w:rFonts w:ascii="仿宋_GB2312" w:eastAsia="仿宋_GB2312"/>
          <w:sz w:val="32"/>
          <w:szCs w:val="32"/>
        </w:rPr>
      </w:pPr>
      <w:r>
        <w:rPr>
          <w:rFonts w:hint="eastAsia" w:ascii="仿宋_GB2312" w:eastAsia="仿宋_GB2312"/>
          <w:sz w:val="32"/>
          <w:szCs w:val="32"/>
        </w:rPr>
        <w:t>1.国家奖学金评审结果在学院公示5天</w:t>
      </w:r>
      <w:r>
        <w:rPr>
          <w:rFonts w:hint="eastAsia" w:ascii="仿宋_GB2312" w:hAnsi="宋体" w:eastAsia="仿宋_GB2312" w:cs="Times New Roman"/>
          <w:sz w:val="32"/>
          <w:szCs w:val="32"/>
        </w:rPr>
        <w:t>（公示内容主要包括研究生课程成绩、科研成果及研究进展等情况）</w:t>
      </w:r>
      <w:r>
        <w:rPr>
          <w:rFonts w:hint="eastAsia" w:ascii="仿宋_GB2312" w:eastAsia="仿宋_GB2312"/>
          <w:sz w:val="32"/>
          <w:szCs w:val="32"/>
        </w:rPr>
        <w:t>。对评审结果有异议的研究生，可在公示期内向评审工作领导小组提出申诉，评审工作领导小组应及时研究并予以答复。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2.研究生如仍对学院的答复存在异议，可在学校公示阶段向学校研究生奖助工作领导小组提请裁决。</w:t>
      </w:r>
    </w:p>
    <w:p>
      <w:pPr>
        <w:ind w:firstLine="640" w:firstLineChars="200"/>
        <w:outlineLvl w:val="0"/>
        <w:rPr>
          <w:rFonts w:ascii="黑体" w:hAnsi="宋体" w:eastAsia="黑体"/>
          <w:sz w:val="32"/>
          <w:szCs w:val="32"/>
        </w:rPr>
      </w:pPr>
      <w:r>
        <w:rPr>
          <w:rFonts w:hint="eastAsia" w:ascii="黑体" w:hAnsi="宋体" w:eastAsia="黑体"/>
          <w:sz w:val="32"/>
          <w:szCs w:val="32"/>
        </w:rPr>
        <w:t>六、其它</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 xml:space="preserve"> 凡指标体系中有关科研业绩和附加分的申请材料，均须为申请人申请各类奖助学金时从未使用过的材料，即申请人曾获得各类奖助学金时已经使用过的申请材料不得再次使用。</w:t>
      </w:r>
    </w:p>
    <w:p>
      <w:pPr>
        <w:ind w:firstLine="640" w:firstLineChars="200"/>
        <w:rPr>
          <w:rFonts w:ascii="仿宋_GB2312" w:eastAsia="仿宋_GB2312"/>
          <w:sz w:val="32"/>
          <w:szCs w:val="32"/>
        </w:rPr>
      </w:pPr>
      <w:r>
        <w:rPr>
          <w:rFonts w:hint="eastAsia" w:ascii="仿宋_GB2312" w:eastAsia="仿宋_GB2312"/>
          <w:sz w:val="32"/>
          <w:szCs w:val="32"/>
        </w:rPr>
        <w:t>2.凡存在弄虚作假行为（包括使用不在评审期限内的材料、使用</w:t>
      </w:r>
      <w:r>
        <w:rPr>
          <w:rFonts w:hint="eastAsia" w:ascii="仿宋_GB2312" w:hAnsi="宋体" w:eastAsia="仿宋_GB2312"/>
          <w:sz w:val="32"/>
          <w:szCs w:val="32"/>
        </w:rPr>
        <w:t>曾获得各类奖助学金时已经使用过的申请材料</w:t>
      </w:r>
      <w:r>
        <w:rPr>
          <w:rFonts w:hint="eastAsia" w:ascii="仿宋_GB2312" w:eastAsia="仿宋_GB2312"/>
          <w:sz w:val="32"/>
          <w:szCs w:val="32"/>
        </w:rPr>
        <w:t>、故意提高论文影响因子数值等）者，一经查出，即取消包括本次参评资格在内的在校期间所有评奖评优资格。对于已获得奖项的弄虚作假学生，上报学校撤销其荣誉称号，追回奖金，同时按情节严重程度给予相应纪律处分。</w:t>
      </w:r>
    </w:p>
    <w:p>
      <w:pPr>
        <w:ind w:firstLine="640" w:firstLineChars="200"/>
        <w:rPr>
          <w:rFonts w:ascii="仿宋_GB2312" w:eastAsia="仿宋_GB2312"/>
          <w:sz w:val="32"/>
          <w:szCs w:val="32"/>
        </w:rPr>
      </w:pPr>
      <w:r>
        <w:rPr>
          <w:rFonts w:hint="eastAsia" w:ascii="仿宋_GB2312" w:hAnsi="宋体" w:eastAsia="仿宋_GB2312"/>
          <w:sz w:val="32"/>
          <w:szCs w:val="32"/>
        </w:rPr>
        <w:t>3.</w:t>
      </w:r>
      <w:r>
        <w:rPr>
          <w:rFonts w:hint="eastAsia" w:ascii="仿宋_GB2312" w:hAnsi="宋体" w:eastAsia="仿宋_GB2312" w:cs="Times New Roman"/>
          <w:sz w:val="32"/>
          <w:szCs w:val="32"/>
        </w:rPr>
        <w:t>本细则</w:t>
      </w:r>
      <w:r>
        <w:rPr>
          <w:rFonts w:hint="eastAsia" w:ascii="仿宋_GB2312" w:eastAsia="仿宋_GB2312"/>
          <w:sz w:val="32"/>
          <w:szCs w:val="32"/>
        </w:rPr>
        <w:t>自发文之日起实施</w:t>
      </w:r>
      <w:r>
        <w:rPr>
          <w:rFonts w:hint="eastAsia" w:ascii="仿宋_GB2312" w:hAnsi="宋体" w:eastAsia="仿宋_GB2312" w:cs="Times New Roman"/>
          <w:sz w:val="32"/>
          <w:szCs w:val="32"/>
        </w:rPr>
        <w:t>。</w:t>
      </w:r>
      <w:r>
        <w:rPr>
          <w:rFonts w:hint="eastAsia" w:ascii="仿宋_GB2312" w:eastAsia="仿宋_GB2312"/>
          <w:sz w:val="32"/>
          <w:szCs w:val="32"/>
        </w:rPr>
        <w:t>原《生命科学学院</w:t>
      </w:r>
      <w:r>
        <w:rPr>
          <w:rFonts w:hint="eastAsia" w:ascii="仿宋_GB2312" w:hAnsi="Calibri" w:eastAsia="仿宋_GB2312" w:cs="Times New Roman"/>
          <w:sz w:val="32"/>
          <w:szCs w:val="32"/>
        </w:rPr>
        <w:t>研究生国家奖学金、校长奖学金评定工作实施细则</w:t>
      </w:r>
      <w:r>
        <w:rPr>
          <w:rFonts w:hint="eastAsia" w:ascii="仿宋_GB2312" w:eastAsia="仿宋_GB2312"/>
          <w:sz w:val="32"/>
          <w:szCs w:val="32"/>
        </w:rPr>
        <w:t>（试行）》同时废止。</w:t>
      </w:r>
    </w:p>
    <w:p>
      <w:pPr>
        <w:ind w:firstLine="640" w:firstLineChars="200"/>
        <w:rPr>
          <w:rFonts w:ascii="仿宋_GB2312" w:eastAsia="仿宋_GB2312"/>
          <w:sz w:val="32"/>
          <w:szCs w:val="32"/>
        </w:rPr>
      </w:pPr>
      <w:r>
        <w:rPr>
          <w:rFonts w:hint="eastAsia" w:ascii="仿宋_GB2312" w:eastAsia="仿宋_GB2312"/>
          <w:sz w:val="32"/>
          <w:szCs w:val="32"/>
        </w:rPr>
        <w:t>4.本细则由学院评审工作领导小组负责解释。</w:t>
      </w:r>
    </w:p>
    <w:sectPr>
      <w:pgSz w:w="11906" w:h="16838"/>
      <w:pgMar w:top="1440" w:right="113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70783"/>
    <w:rsid w:val="00013700"/>
    <w:rsid w:val="000679D0"/>
    <w:rsid w:val="000703A8"/>
    <w:rsid w:val="000957FE"/>
    <w:rsid w:val="000B3115"/>
    <w:rsid w:val="000B5DDC"/>
    <w:rsid w:val="000B6261"/>
    <w:rsid w:val="000C784D"/>
    <w:rsid w:val="000D2B68"/>
    <w:rsid w:val="001007C5"/>
    <w:rsid w:val="00112149"/>
    <w:rsid w:val="00115067"/>
    <w:rsid w:val="0017121A"/>
    <w:rsid w:val="00174188"/>
    <w:rsid w:val="001D2442"/>
    <w:rsid w:val="001F1AEB"/>
    <w:rsid w:val="002074F0"/>
    <w:rsid w:val="00210430"/>
    <w:rsid w:val="00214A18"/>
    <w:rsid w:val="0024764E"/>
    <w:rsid w:val="00250F1B"/>
    <w:rsid w:val="00252AE5"/>
    <w:rsid w:val="00265362"/>
    <w:rsid w:val="00272877"/>
    <w:rsid w:val="00273102"/>
    <w:rsid w:val="00276239"/>
    <w:rsid w:val="00276DE7"/>
    <w:rsid w:val="0028642A"/>
    <w:rsid w:val="002C1817"/>
    <w:rsid w:val="002C521F"/>
    <w:rsid w:val="002D1839"/>
    <w:rsid w:val="002D2962"/>
    <w:rsid w:val="003239E1"/>
    <w:rsid w:val="0032600F"/>
    <w:rsid w:val="003368FD"/>
    <w:rsid w:val="00357D8E"/>
    <w:rsid w:val="003823E8"/>
    <w:rsid w:val="00382794"/>
    <w:rsid w:val="00387901"/>
    <w:rsid w:val="003B24B3"/>
    <w:rsid w:val="003B49AF"/>
    <w:rsid w:val="003E7B8B"/>
    <w:rsid w:val="00407FF7"/>
    <w:rsid w:val="004323AF"/>
    <w:rsid w:val="004373A8"/>
    <w:rsid w:val="0043754C"/>
    <w:rsid w:val="00443141"/>
    <w:rsid w:val="00450E8B"/>
    <w:rsid w:val="00453B01"/>
    <w:rsid w:val="004B729F"/>
    <w:rsid w:val="004C51A7"/>
    <w:rsid w:val="0052770E"/>
    <w:rsid w:val="00557928"/>
    <w:rsid w:val="00570783"/>
    <w:rsid w:val="005741FD"/>
    <w:rsid w:val="00585EC5"/>
    <w:rsid w:val="005B6F32"/>
    <w:rsid w:val="005D2003"/>
    <w:rsid w:val="005D7F04"/>
    <w:rsid w:val="005E72D2"/>
    <w:rsid w:val="0060272F"/>
    <w:rsid w:val="00662D96"/>
    <w:rsid w:val="00686448"/>
    <w:rsid w:val="006C717A"/>
    <w:rsid w:val="006F5476"/>
    <w:rsid w:val="00754428"/>
    <w:rsid w:val="00757F18"/>
    <w:rsid w:val="00761F68"/>
    <w:rsid w:val="00776E03"/>
    <w:rsid w:val="00783850"/>
    <w:rsid w:val="00783DE5"/>
    <w:rsid w:val="007840D6"/>
    <w:rsid w:val="007A6F3C"/>
    <w:rsid w:val="007C6418"/>
    <w:rsid w:val="007D40B9"/>
    <w:rsid w:val="007E62A2"/>
    <w:rsid w:val="007F7685"/>
    <w:rsid w:val="0080284F"/>
    <w:rsid w:val="00823E53"/>
    <w:rsid w:val="0088285C"/>
    <w:rsid w:val="0088635F"/>
    <w:rsid w:val="008B340E"/>
    <w:rsid w:val="008B433A"/>
    <w:rsid w:val="008F11C3"/>
    <w:rsid w:val="008F637C"/>
    <w:rsid w:val="00931D29"/>
    <w:rsid w:val="00936006"/>
    <w:rsid w:val="009B140F"/>
    <w:rsid w:val="009B1F02"/>
    <w:rsid w:val="009C11A9"/>
    <w:rsid w:val="009C1562"/>
    <w:rsid w:val="009E0E8F"/>
    <w:rsid w:val="009E765E"/>
    <w:rsid w:val="009F12F5"/>
    <w:rsid w:val="00A37130"/>
    <w:rsid w:val="00A461BD"/>
    <w:rsid w:val="00AE167E"/>
    <w:rsid w:val="00AE1D1D"/>
    <w:rsid w:val="00B154EB"/>
    <w:rsid w:val="00B32ACB"/>
    <w:rsid w:val="00B71419"/>
    <w:rsid w:val="00B85FD2"/>
    <w:rsid w:val="00B90ECA"/>
    <w:rsid w:val="00BD18F4"/>
    <w:rsid w:val="00BE5262"/>
    <w:rsid w:val="00BF233B"/>
    <w:rsid w:val="00BF3AE7"/>
    <w:rsid w:val="00C218CD"/>
    <w:rsid w:val="00C53E00"/>
    <w:rsid w:val="00C71580"/>
    <w:rsid w:val="00C944B0"/>
    <w:rsid w:val="00CA3D0C"/>
    <w:rsid w:val="00CE32BE"/>
    <w:rsid w:val="00CE3667"/>
    <w:rsid w:val="00CF0A99"/>
    <w:rsid w:val="00CF7340"/>
    <w:rsid w:val="00D10C56"/>
    <w:rsid w:val="00D22AA3"/>
    <w:rsid w:val="00D426DA"/>
    <w:rsid w:val="00D4713C"/>
    <w:rsid w:val="00D606D7"/>
    <w:rsid w:val="00D66CC8"/>
    <w:rsid w:val="00D9103E"/>
    <w:rsid w:val="00D915B2"/>
    <w:rsid w:val="00D91E83"/>
    <w:rsid w:val="00D97F1B"/>
    <w:rsid w:val="00E10A40"/>
    <w:rsid w:val="00E27C79"/>
    <w:rsid w:val="00E63B69"/>
    <w:rsid w:val="00ED06E3"/>
    <w:rsid w:val="00F1599D"/>
    <w:rsid w:val="00F25A8E"/>
    <w:rsid w:val="00F31113"/>
    <w:rsid w:val="00F523DC"/>
    <w:rsid w:val="00F57309"/>
    <w:rsid w:val="00F808C4"/>
    <w:rsid w:val="00F81885"/>
    <w:rsid w:val="00FA03DA"/>
    <w:rsid w:val="00FA43AE"/>
    <w:rsid w:val="00FA6B39"/>
    <w:rsid w:val="00FB2358"/>
    <w:rsid w:val="00FB7D1C"/>
    <w:rsid w:val="00FC0D41"/>
    <w:rsid w:val="00FF2D3A"/>
    <w:rsid w:val="1AFC433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99"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Document Map"/>
    <w:basedOn w:val="1"/>
    <w:link w:val="14"/>
    <w:unhideWhenUsed/>
    <w:uiPriority w:val="99"/>
    <w:rPr>
      <w:rFonts w:ascii="宋体" w:eastAsia="宋体"/>
      <w:sz w:val="18"/>
      <w:szCs w:val="18"/>
    </w:rPr>
  </w:style>
  <w:style w:type="paragraph" w:styleId="3">
    <w:name w:val="Body Text"/>
    <w:basedOn w:val="1"/>
    <w:link w:val="15"/>
    <w:uiPriority w:val="0"/>
    <w:pPr>
      <w:jc w:val="center"/>
    </w:pPr>
    <w:rPr>
      <w:b/>
      <w:bCs/>
      <w:sz w:val="24"/>
      <w:szCs w:val="24"/>
    </w:rPr>
  </w:style>
  <w:style w:type="paragraph" w:styleId="4">
    <w:name w:val="Plain Text"/>
    <w:basedOn w:val="1"/>
    <w:link w:val="13"/>
    <w:uiPriority w:val="99"/>
    <w:rPr>
      <w:rFonts w:ascii="宋体" w:hAnsi="Courier New" w:eastAsia="宋体" w:cs="Courier New"/>
      <w:szCs w:val="21"/>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table" w:styleId="10">
    <w:name w:val="Table Grid"/>
    <w:basedOn w:val="9"/>
    <w:uiPriority w:val="0"/>
    <w:pPr/>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11">
    <w:name w:val="页眉 Char"/>
    <w:basedOn w:val="7"/>
    <w:link w:val="6"/>
    <w:semiHidden/>
    <w:uiPriority w:val="99"/>
    <w:rPr>
      <w:sz w:val="18"/>
      <w:szCs w:val="18"/>
    </w:rPr>
  </w:style>
  <w:style w:type="character" w:customStyle="1" w:styleId="12">
    <w:name w:val="页脚 Char"/>
    <w:basedOn w:val="7"/>
    <w:link w:val="5"/>
    <w:semiHidden/>
    <w:uiPriority w:val="99"/>
    <w:rPr>
      <w:sz w:val="18"/>
      <w:szCs w:val="18"/>
    </w:rPr>
  </w:style>
  <w:style w:type="character" w:customStyle="1" w:styleId="13">
    <w:name w:val="纯文本 Char"/>
    <w:basedOn w:val="7"/>
    <w:link w:val="4"/>
    <w:uiPriority w:val="99"/>
    <w:rPr>
      <w:rFonts w:ascii="宋体" w:hAnsi="Courier New" w:eastAsia="宋体" w:cs="Courier New"/>
      <w:szCs w:val="21"/>
    </w:rPr>
  </w:style>
  <w:style w:type="character" w:customStyle="1" w:styleId="14">
    <w:name w:val="文档结构图 Char"/>
    <w:basedOn w:val="7"/>
    <w:link w:val="2"/>
    <w:semiHidden/>
    <w:uiPriority w:val="99"/>
    <w:rPr>
      <w:rFonts w:ascii="宋体" w:eastAsia="宋体"/>
      <w:sz w:val="18"/>
      <w:szCs w:val="18"/>
    </w:rPr>
  </w:style>
  <w:style w:type="character" w:customStyle="1" w:styleId="15">
    <w:name w:val="正文文本 Char"/>
    <w:link w:val="3"/>
    <w:uiPriority w:val="0"/>
    <w:rPr>
      <w:b/>
      <w:bCs/>
      <w:sz w:val="24"/>
      <w:szCs w:val="24"/>
    </w:rPr>
  </w:style>
  <w:style w:type="character" w:customStyle="1" w:styleId="16">
    <w:name w:val="正文文本 Char1"/>
    <w:basedOn w:val="7"/>
    <w:link w:val="3"/>
    <w:semiHidden/>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696</Words>
  <Characters>3968</Characters>
  <Lines>33</Lines>
  <Paragraphs>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2014-08-11T03:38:00Z</dcterms:created>
  <dc:creator>王有材</dc:creator>
  <cp:lastModifiedBy>lenovo</cp:lastModifiedBy>
  <cp:lastPrinted>2014-09-28T03:41:00Z</cp:lastPrinted>
  <dcterms:modified xsi:type="dcterms:W3CDTF">2015-09-27T23:57:17Z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