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500" w:lineRule="exact"/>
        <w:rPr>
          <w:rFonts w:hint="eastAsia" w:ascii="楷体_GB2312" w:eastAsia="楷体_GB2312"/>
          <w:sz w:val="36"/>
          <w:szCs w:val="30"/>
        </w:rPr>
      </w:pPr>
      <w:r>
        <w:rPr>
          <w:rFonts w:hint="eastAsia" w:ascii="楷体_GB2312" w:hAnsi="黑体" w:eastAsia="楷体_GB2312" w:cs="黑体"/>
          <w:bCs/>
          <w:sz w:val="32"/>
          <w:szCs w:val="30"/>
        </w:rPr>
        <w:t>附件1：</w:t>
      </w:r>
      <w:r>
        <w:rPr>
          <w:rFonts w:hint="eastAsia" w:ascii="楷体_GB2312" w:eastAsia="楷体_GB2312"/>
          <w:b/>
          <w:sz w:val="40"/>
          <w:szCs w:val="30"/>
        </w:rPr>
        <w:t xml:space="preserve"> </w:t>
      </w:r>
      <w:r>
        <w:rPr>
          <w:rFonts w:hint="eastAsia" w:ascii="楷体_GB2312" w:eastAsia="楷体_GB2312"/>
          <w:sz w:val="36"/>
          <w:szCs w:val="30"/>
        </w:rPr>
        <w:t xml:space="preserve">             </w:t>
      </w:r>
    </w:p>
    <w:p>
      <w:pPr>
        <w:adjustRightInd w:val="0"/>
        <w:snapToGrid w:val="0"/>
        <w:spacing w:after="156" w:afterLines="50" w:line="500" w:lineRule="exact"/>
        <w:jc w:val="center"/>
        <w:rPr>
          <w:rFonts w:eastAsia="黑体"/>
          <w:b/>
          <w:sz w:val="36"/>
          <w:szCs w:val="30"/>
        </w:rPr>
      </w:pPr>
      <w:r>
        <w:rPr>
          <w:rFonts w:hint="eastAsia" w:ascii="方正小标宋简体" w:hAnsi="方正小标宋简体" w:eastAsia="方正小标宋简体" w:cs="方正小标宋简体"/>
          <w:bCs/>
          <w:sz w:val="44"/>
          <w:szCs w:val="44"/>
        </w:rPr>
        <w:t>高等学校实验室安全检查项目表（2022）</w:t>
      </w:r>
    </w:p>
    <w:tbl>
      <w:tblPr>
        <w:tblStyle w:val="18"/>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jc w:val="center"/>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jc w:val="center"/>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jc w:val="center"/>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jc w:val="center"/>
              <w:rPr>
                <w:rFonts w:ascii="黑体" w:hAnsi="黑体" w:eastAsia="黑体"/>
                <w:b/>
                <w:bCs/>
                <w:kern w:val="0"/>
                <w:szCs w:val="21"/>
              </w:rPr>
            </w:pPr>
            <w:r>
              <w:rPr>
                <w:rFonts w:hint="eastAsia" w:ascii="黑体" w:hAnsi="黑体" w:eastAsia="黑体"/>
                <w:b/>
                <w:bCs/>
                <w:kern w:val="0"/>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w:t>
            </w:r>
            <w:r>
              <w:rPr>
                <w:rFonts w:hint="eastAsia" w:eastAsia="仿宋"/>
                <w:bCs/>
                <w:kern w:val="0"/>
                <w:szCs w:val="21"/>
              </w:rPr>
              <w:t>要</w:t>
            </w:r>
            <w:r>
              <w:rPr>
                <w:rFonts w:eastAsia="仿宋"/>
                <w:bCs/>
                <w:kern w:val="0"/>
                <w:szCs w:val="21"/>
              </w:rPr>
              <w:t>危险源（见第1</w:t>
            </w:r>
            <w:r>
              <w:rPr>
                <w:rFonts w:hint="eastAsia" w:eastAsia="仿宋"/>
                <w:bCs/>
                <w:kern w:val="0"/>
                <w:szCs w:val="21"/>
              </w:rPr>
              <w:t>2目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jc w:val="center"/>
              <w:rPr>
                <w:rFonts w:eastAsia="仿宋"/>
                <w:bCs/>
                <w:kern w:val="0"/>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保卫处、实验室处、各学院及实验室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保卫处、各学院及实验室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2543" w:type="dxa"/>
            <w:tcMar>
              <w:left w:w="45" w:type="dxa"/>
              <w:right w:w="45" w:type="dxa"/>
            </w:tcMar>
            <w:vAlign w:val="center"/>
          </w:tcPr>
          <w:p>
            <w:pPr>
              <w:widowControl/>
              <w:spacing w:line="300" w:lineRule="exact"/>
              <w:jc w:val="center"/>
              <w:rPr>
                <w:rFonts w:eastAsia="仿宋"/>
                <w:bCs/>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jc w:val="center"/>
              <w:rPr>
                <w:rFonts w:eastAsia="仿宋"/>
                <w:bCs/>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jc w:val="center"/>
              <w:rPr>
                <w:rFonts w:eastAsia="仿宋"/>
                <w:bCs/>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jc w:val="center"/>
              <w:rPr>
                <w:rFonts w:eastAsia="仿宋"/>
                <w:bCs/>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2543" w:type="dxa"/>
            <w:tcMar>
              <w:left w:w="45" w:type="dxa"/>
              <w:right w:w="45" w:type="dxa"/>
            </w:tcMar>
            <w:vAlign w:val="center"/>
          </w:tcPr>
          <w:p>
            <w:pPr>
              <w:spacing w:line="300" w:lineRule="exact"/>
              <w:jc w:val="center"/>
              <w:rPr>
                <w:rFonts w:eastAsia="仿宋"/>
                <w:bCs/>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（66）配备的药箱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jc w:val="center"/>
              <w:rPr>
                <w:rFonts w:eastAsia="仿宋"/>
                <w:bCs/>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（6</w:t>
            </w:r>
            <w:r>
              <w:rPr>
                <w:rFonts w:eastAsia="仿宋"/>
                <w:kern w:val="0"/>
                <w:szCs w:val="21"/>
              </w:rPr>
              <w:t>9</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2543" w:type="dxa"/>
            <w:tcMar>
              <w:left w:w="45" w:type="dxa"/>
              <w:right w:w="45" w:type="dxa"/>
            </w:tcMar>
            <w:vAlign w:val="center"/>
          </w:tcPr>
          <w:p>
            <w:pPr>
              <w:widowControl/>
              <w:spacing w:line="300" w:lineRule="exact"/>
              <w:jc w:val="center"/>
              <w:rPr>
                <w:rFonts w:eastAsia="仿宋"/>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2543" w:type="dxa"/>
            <w:tcMar>
              <w:left w:w="45" w:type="dxa"/>
              <w:right w:w="45" w:type="dxa"/>
            </w:tcMar>
            <w:vAlign w:val="center"/>
          </w:tcPr>
          <w:p>
            <w:pPr>
              <w:widowControl/>
              <w:spacing w:line="300" w:lineRule="exact"/>
              <w:jc w:val="center"/>
              <w:rPr>
                <w:rFonts w:eastAsia="仿宋"/>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94</w:t>
            </w:r>
            <w:r>
              <w:rPr>
                <w:rFonts w:hint="eastAsia" w:eastAsia="仿宋"/>
                <w:kern w:val="0"/>
                <w:szCs w:val="21"/>
              </w:rPr>
              <w:t>）</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电源插座须有效固定；</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电气设备应配备空气开关和漏电保护器；</w:t>
            </w:r>
          </w:p>
          <w:p>
            <w:pPr>
              <w:rPr>
                <w:rFonts w:eastAsia="仿宋"/>
                <w:kern w:val="0"/>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w:t>
            </w:r>
            <w:r>
              <w:rPr>
                <w:rFonts w:eastAsia="仿宋"/>
                <w:kern w:val="0"/>
              </w:rPr>
              <w:t>98</w:t>
            </w:r>
            <w:r>
              <w:rPr>
                <w:rFonts w:hint="eastAsia" w:eastAsia="仿宋"/>
                <w:kern w:val="0"/>
              </w:rPr>
              <w:t>）禁止使用老化的线缆、花线、木质配电板、有破损的接线板，电线接头绝缘可靠，无裸露连接线，穿越通道的线缆应有盖板或护套，不使用老国标接线板；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w:t>
            </w:r>
            <w:r>
              <w:rPr>
                <w:rFonts w:eastAsia="仿宋"/>
                <w:kern w:val="0"/>
                <w:szCs w:val="21"/>
              </w:rPr>
              <w:t>99</w:t>
            </w:r>
            <w:r>
              <w:rPr>
                <w:rFonts w:hint="eastAsia" w:eastAsia="仿宋"/>
                <w:kern w:val="0"/>
                <w:szCs w:val="21"/>
              </w:rPr>
              <w:t>）</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电器长期不用时，应切断电源；</w:t>
            </w:r>
          </w:p>
          <w:p>
            <w:pPr>
              <w:rPr>
                <w:rFonts w:eastAsia="仿宋"/>
                <w:bCs/>
                <w:kern w:val="0"/>
                <w:szCs w:val="21"/>
              </w:rPr>
            </w:pPr>
            <w:r>
              <w:rPr>
                <w:rFonts w:hint="eastAsia" w:eastAsia="仿宋"/>
                <w:kern w:val="0"/>
                <w:szCs w:val="21"/>
              </w:rPr>
              <w:t>（</w:t>
            </w:r>
            <w:r>
              <w:rPr>
                <w:rFonts w:eastAsia="仿宋"/>
                <w:kern w:val="0"/>
                <w:szCs w:val="21"/>
              </w:rPr>
              <w:t>101</w:t>
            </w:r>
            <w:r>
              <w:rPr>
                <w:rFonts w:hint="eastAsia" w:eastAsia="仿宋"/>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jc w:val="center"/>
              <w:rPr>
                <w:rFonts w:ascii="仿宋" w:hAnsi="仿宋"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02</w:t>
            </w:r>
            <w:r>
              <w:rPr>
                <w:rFonts w:hint="eastAsia" w:eastAsia="仿宋"/>
                <w:kern w:val="0"/>
                <w:szCs w:val="21"/>
              </w:rPr>
              <w:t>）</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11</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12</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113</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21</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jc w:val="center"/>
              <w:rPr>
                <w:rFonts w:eastAsia="仿宋"/>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22</w:t>
            </w:r>
            <w:r>
              <w:rPr>
                <w:rFonts w:hint="eastAsia" w:eastAsia="仿宋"/>
              </w:rPr>
              <w:t>）</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w:t>
            </w:r>
            <w:r>
              <w:rPr>
                <w:rFonts w:eastAsia="仿宋"/>
                <w:kern w:val="0"/>
              </w:rPr>
              <w:t>23</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w:t>
            </w:r>
            <w:r>
              <w:rPr>
                <w:rFonts w:eastAsia="仿宋"/>
                <w:kern w:val="0"/>
              </w:rPr>
              <w:t>24</w:t>
            </w:r>
            <w:r>
              <w:rPr>
                <w:rFonts w:hint="eastAsia" w:eastAsia="仿宋"/>
                <w:kern w:val="0"/>
              </w:rPr>
              <w:t>）</w:t>
            </w:r>
            <w:r>
              <w:rPr>
                <w:rFonts w:eastAsia="仿宋"/>
                <w:kern w:val="0"/>
              </w:rPr>
              <w:t>试剂柜中不能有电源插座或接线板；</w:t>
            </w:r>
          </w:p>
          <w:p>
            <w:pPr>
              <w:widowControl/>
              <w:rPr>
                <w:rFonts w:eastAsia="仿宋"/>
                <w:kern w:val="0"/>
              </w:rPr>
            </w:pPr>
            <w:r>
              <w:rPr>
                <w:rFonts w:hint="eastAsia" w:eastAsia="仿宋"/>
                <w:kern w:val="0"/>
              </w:rPr>
              <w:t>（1</w:t>
            </w:r>
            <w:r>
              <w:rPr>
                <w:rFonts w:eastAsia="仿宋"/>
                <w:kern w:val="0"/>
              </w:rPr>
              <w:t>25</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26</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27</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w:t>
            </w:r>
            <w:r>
              <w:rPr>
                <w:rFonts w:eastAsia="仿宋"/>
                <w:kern w:val="0"/>
              </w:rPr>
              <w:t>28</w:t>
            </w:r>
            <w:r>
              <w:rPr>
                <w:rFonts w:hint="eastAsia" w:eastAsia="仿宋"/>
                <w:kern w:val="0"/>
              </w:rPr>
              <w:t>）</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29</w:t>
            </w:r>
            <w:r>
              <w:rPr>
                <w:rFonts w:hint="eastAsia" w:eastAsia="仿宋"/>
                <w:kern w:val="0"/>
                <w:szCs w:val="21"/>
              </w:rPr>
              <w:t>）</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30</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jc w:val="center"/>
              <w:rPr>
                <w:rFonts w:ascii="仿宋" w:hAnsi="仿宋"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33</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jc w:val="center"/>
              <w:rPr>
                <w:rFonts w:eastAsia="仿宋"/>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w:t>
            </w:r>
            <w:r>
              <w:rPr>
                <w:rFonts w:eastAsia="仿宋"/>
                <w:kern w:val="0"/>
                <w:szCs w:val="21"/>
              </w:rPr>
              <w:t>36</w:t>
            </w:r>
            <w:r>
              <w:rPr>
                <w:rFonts w:hint="eastAsia" w:eastAsia="仿宋"/>
                <w:kern w:val="0"/>
                <w:szCs w:val="21"/>
              </w:rPr>
              <w:t>）</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37</w:t>
            </w:r>
            <w:r>
              <w:rPr>
                <w:rFonts w:hint="eastAsia" w:eastAsia="仿宋"/>
                <w:kern w:val="0"/>
                <w:szCs w:val="21"/>
              </w:rPr>
              <w:t>）</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jc w:val="center"/>
              <w:rPr>
                <w:rFonts w:eastAsia="仿宋"/>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38</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jc w:val="center"/>
              <w:rPr>
                <w:rFonts w:eastAsia="仿宋"/>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jc w:val="center"/>
              <w:rPr>
                <w:rFonts w:eastAsia="仿宋"/>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jc w:val="center"/>
              <w:rPr>
                <w:rFonts w:eastAsia="仿宋"/>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center"/>
              <w:rPr>
                <w:rFonts w:ascii="仿宋" w:hAnsi="仿宋" w:eastAsia="仿宋"/>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44</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w:t>
            </w:r>
            <w:r>
              <w:rPr>
                <w:rFonts w:eastAsia="仿宋"/>
                <w:szCs w:val="21"/>
              </w:rPr>
              <w:t>46</w:t>
            </w:r>
            <w:r>
              <w:rPr>
                <w:rFonts w:hint="eastAsia" w:eastAsia="仿宋"/>
                <w:szCs w:val="21"/>
              </w:rPr>
              <w:t>）</w:t>
            </w:r>
            <w:r>
              <w:rPr>
                <w:rFonts w:eastAsia="仿宋"/>
                <w:kern w:val="0"/>
                <w:szCs w:val="21"/>
              </w:rPr>
              <w:t>气瓶应合理固定；</w:t>
            </w:r>
          </w:p>
          <w:p>
            <w:pPr>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w:t>
            </w:r>
            <w:r>
              <w:rPr>
                <w:rFonts w:eastAsia="仿宋"/>
                <w:kern w:val="0"/>
                <w:szCs w:val="21"/>
              </w:rPr>
              <w:t>气瓶的存放应控制在最小需求量；</w:t>
            </w:r>
          </w:p>
          <w:p>
            <w:pPr>
              <w:rPr>
                <w:rFonts w:eastAsia="仿宋"/>
                <w:kern w:val="0"/>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w:t>
            </w:r>
            <w:r>
              <w:rPr>
                <w:rFonts w:eastAsia="仿宋"/>
                <w:kern w:val="0"/>
              </w:rPr>
              <w:t>50</w:t>
            </w:r>
            <w:r>
              <w:rPr>
                <w:rFonts w:hint="eastAsia" w:eastAsia="仿宋"/>
                <w:kern w:val="0"/>
              </w:rPr>
              <w:t>）</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w:t>
            </w:r>
            <w:r>
              <w:rPr>
                <w:rFonts w:eastAsia="仿宋"/>
                <w:kern w:val="0"/>
                <w:szCs w:val="21"/>
              </w:rPr>
              <w:t>51</w:t>
            </w:r>
            <w:r>
              <w:rPr>
                <w:rFonts w:hint="eastAsia" w:eastAsia="仿宋"/>
                <w:kern w:val="0"/>
                <w:szCs w:val="21"/>
              </w:rPr>
              <w:t>）</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w:t>
            </w:r>
            <w:r>
              <w:rPr>
                <w:rFonts w:eastAsia="仿宋"/>
                <w:kern w:val="0"/>
                <w:szCs w:val="21"/>
              </w:rPr>
              <w:t>53</w:t>
            </w:r>
            <w:r>
              <w:rPr>
                <w:rFonts w:hint="eastAsia" w:eastAsia="仿宋"/>
                <w:kern w:val="0"/>
                <w:szCs w:val="21"/>
              </w:rPr>
              <w:t>）</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jc w:val="center"/>
              <w:rPr>
                <w:rFonts w:eastAsia="仿宋"/>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56</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jc w:val="center"/>
              <w:rPr>
                <w:rFonts w:ascii="仿宋" w:hAnsi="仿宋"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jc w:val="center"/>
              <w:rPr>
                <w:rFonts w:ascii="仿宋" w:hAnsi="仿宋"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65</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jc w:val="center"/>
              <w:rPr>
                <w:rFonts w:ascii="仿宋" w:hAnsi="仿宋"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79</w:t>
            </w:r>
            <w:r>
              <w:rPr>
                <w:rFonts w:hint="eastAsia" w:eastAsia="仿宋"/>
                <w:kern w:val="0"/>
              </w:rPr>
              <w:t>）</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w:t>
            </w:r>
            <w:r>
              <w:rPr>
                <w:rFonts w:eastAsia="仿宋"/>
                <w:kern w:val="0"/>
              </w:rPr>
              <w:t>80</w:t>
            </w:r>
            <w:r>
              <w:rPr>
                <w:rFonts w:hint="eastAsia" w:eastAsia="仿宋"/>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jc w:val="center"/>
              <w:rPr>
                <w:rFonts w:ascii="仿宋" w:hAnsi="仿宋" w:eastAsia="仿宋"/>
                <w:bCs/>
                <w:kern w:val="0"/>
                <w:szCs w:val="21"/>
              </w:rPr>
            </w:pPr>
            <w:r>
              <w:rPr>
                <w:rFonts w:hint="eastAsia" w:ascii="仿宋" w:hAnsi="仿宋"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81</w:t>
            </w:r>
            <w:r>
              <w:rPr>
                <w:rFonts w:hint="eastAsia" w:eastAsia="仿宋"/>
                <w:bCs/>
                <w:kern w:val="0"/>
                <w:szCs w:val="21"/>
              </w:rPr>
              <w:t>）</w:t>
            </w:r>
            <w:r>
              <w:rPr>
                <w:rFonts w:eastAsia="仿宋"/>
                <w:bCs/>
                <w:kern w:val="0"/>
                <w:szCs w:val="21"/>
              </w:rPr>
              <w:t>查看现场</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ascii="仿宋" w:hAnsi="仿宋"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83</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84</w:t>
            </w:r>
            <w:r>
              <w:rPr>
                <w:rFonts w:hint="eastAsia" w:eastAsia="仿宋"/>
                <w:kern w:val="0"/>
                <w:szCs w:val="21"/>
              </w:rPr>
              <w:t>）</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55"/>
              <w:spacing w:line="360" w:lineRule="auto"/>
              <w:ind w:firstLine="0" w:firstLineChars="0"/>
              <w:jc w:val="center"/>
              <w:rPr>
                <w:rFonts w:ascii="Times New Roman" w:hAnsi="Times New Roman" w:eastAsia="仿宋"/>
                <w:bCs/>
                <w:kern w:val="0"/>
              </w:rPr>
            </w:pPr>
            <w:r>
              <w:rPr>
                <w:rFonts w:hint="eastAsia" w:ascii="Times New Roman" w:hAnsi="Times New Roman" w:eastAsia="仿宋"/>
                <w:bCs/>
                <w:kern w:val="0"/>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185</w:t>
            </w:r>
            <w:r>
              <w:rPr>
                <w:rFonts w:hint="eastAsia" w:eastAsia="仿宋"/>
                <w:kern w:val="0"/>
                <w:szCs w:val="21"/>
              </w:rPr>
              <w:t>）</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86</w:t>
            </w:r>
            <w:r>
              <w:rPr>
                <w:rFonts w:hint="eastAsia" w:eastAsia="仿宋"/>
                <w:kern w:val="0"/>
                <w:szCs w:val="21"/>
              </w:rPr>
              <w:t>）</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88</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jc w:val="center"/>
              <w:rPr>
                <w:rFonts w:ascii="仿宋" w:hAnsi="仿宋" w:eastAsia="仿宋"/>
                <w:bCs/>
                <w:kern w:val="0"/>
              </w:rPr>
            </w:pPr>
            <w:r>
              <w:rPr>
                <w:rFonts w:hint="eastAsia" w:ascii="仿宋" w:hAnsi="仿宋" w:eastAsia="仿宋"/>
                <w:bCs/>
                <w:kern w:val="0"/>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189</w:t>
            </w:r>
            <w:r>
              <w:rPr>
                <w:rFonts w:hint="eastAsia" w:eastAsia="仿宋"/>
                <w:kern w:val="0"/>
                <w:szCs w:val="21"/>
              </w:rPr>
              <w:t>）使用紫外灯的生物安全实验室应设安全警示标志，尤其应对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90</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6"/>
              <w:jc w:val="center"/>
              <w:rPr>
                <w:rFonts w:ascii="Times New Roman" w:hAnsi="Times New Roman" w:eastAsia="仿宋"/>
              </w:rPr>
            </w:pPr>
            <w:r>
              <w:rPr>
                <w:rFonts w:hint="eastAsia" w:ascii="Times New Roman" w:hAnsi="Times New Roman" w:eastAsia="仿宋"/>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191</w:t>
            </w:r>
            <w:r>
              <w:rPr>
                <w:rFonts w:hint="eastAsia" w:eastAsia="仿宋"/>
                <w:kern w:val="0"/>
                <w:szCs w:val="21"/>
              </w:rPr>
              <w:t>）</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92</w:t>
            </w:r>
            <w:r>
              <w:rPr>
                <w:rFonts w:hint="eastAsia" w:eastAsia="仿宋"/>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spacing w:line="360" w:lineRule="auto"/>
              <w:jc w:val="center"/>
              <w:rPr>
                <w:rFonts w:eastAsia="仿宋"/>
                <w:bCs/>
                <w:kern w:val="0"/>
                <w:szCs w:val="21"/>
              </w:rPr>
            </w:pPr>
            <w:r>
              <w:rPr>
                <w:rFonts w:hint="eastAsia" w:eastAsia="仿宋"/>
                <w:bCs/>
                <w:kern w:val="0"/>
                <w:szCs w:val="21"/>
              </w:rPr>
              <w:t>各学院（所、重点实验室）</w:t>
            </w:r>
          </w:p>
          <w:p>
            <w:pPr>
              <w:widowControl/>
              <w:spacing w:line="300" w:lineRule="exact"/>
              <w:jc w:val="center"/>
              <w:rPr>
                <w:rFonts w:eastAsia="仿宋"/>
                <w:bCs/>
                <w:kern w:val="0"/>
                <w:szCs w:val="21"/>
              </w:rPr>
            </w:pPr>
            <w:r>
              <w:rPr>
                <w:rFonts w:hint="eastAsia" w:eastAsia="仿宋"/>
                <w:bCs/>
                <w:kern w:val="0"/>
                <w:szCs w:val="21"/>
              </w:rPr>
              <w:t>各</w:t>
            </w:r>
            <w:r>
              <w:rPr>
                <w:rFonts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193</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195</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197</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jc w:val="center"/>
              <w:rPr>
                <w:rFonts w:ascii="仿宋" w:hAnsi="仿宋" w:eastAsia="仿宋"/>
                <w:bCs/>
                <w:kern w:val="0"/>
                <w:szCs w:val="21"/>
              </w:rPr>
            </w:pPr>
            <w:r>
              <w:rPr>
                <w:rFonts w:hint="eastAsia" w:ascii="仿宋" w:hAnsi="仿宋"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99</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（2</w:t>
            </w:r>
            <w:r>
              <w:rPr>
                <w:rFonts w:eastAsia="仿宋"/>
                <w:bCs/>
                <w:kern w:val="0"/>
                <w:szCs w:val="21"/>
              </w:rPr>
              <w:t>00</w:t>
            </w:r>
            <w:r>
              <w:rPr>
                <w:rFonts w:hint="eastAsia" w:eastAsia="仿宋"/>
                <w:bCs/>
                <w:kern w:val="0"/>
                <w:szCs w:val="21"/>
              </w:rPr>
              <w:t>）</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（2</w:t>
            </w:r>
            <w:r>
              <w:rPr>
                <w:rFonts w:eastAsia="仿宋"/>
                <w:kern w:val="0"/>
                <w:szCs w:val="21"/>
              </w:rPr>
              <w:t>01</w:t>
            </w:r>
            <w:r>
              <w:rPr>
                <w:rFonts w:hint="eastAsia" w:eastAsia="仿宋"/>
                <w:kern w:val="0"/>
                <w:szCs w:val="21"/>
              </w:rPr>
              <w:t>）</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55"/>
              <w:spacing w:line="360" w:lineRule="auto"/>
              <w:ind w:firstLine="0" w:firstLineChars="0"/>
              <w:jc w:val="center"/>
              <w:rPr>
                <w:rFonts w:ascii="Times New Roman" w:hAnsi="Times New Roman" w:eastAsia="仿宋"/>
                <w:bCs/>
                <w:kern w:val="0"/>
              </w:rPr>
            </w:pPr>
            <w:r>
              <w:rPr>
                <w:rFonts w:hint="eastAsia" w:ascii="Times New Roman" w:hAnsi="Times New Roman" w:eastAsia="仿宋"/>
                <w:bCs/>
                <w:kern w:val="0"/>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（2</w:t>
            </w:r>
            <w:r>
              <w:rPr>
                <w:rFonts w:eastAsia="仿宋"/>
                <w:szCs w:val="21"/>
              </w:rPr>
              <w:t>03</w:t>
            </w:r>
            <w:r>
              <w:rPr>
                <w:rFonts w:hint="eastAsia" w:eastAsia="仿宋"/>
                <w:szCs w:val="21"/>
              </w:rPr>
              <w:t>）</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（2</w:t>
            </w:r>
            <w:r>
              <w:rPr>
                <w:rFonts w:eastAsia="仿宋"/>
                <w:szCs w:val="21"/>
              </w:rPr>
              <w:t>04</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jc w:val="center"/>
              <w:rPr>
                <w:bCs/>
                <w:kern w:val="0"/>
                <w:szCs w:val="21"/>
              </w:rPr>
            </w:pPr>
            <w:r>
              <w:rPr>
                <w:rFonts w:hint="eastAsia" w:eastAsia="仿宋"/>
                <w:bCs/>
                <w:kern w:val="0"/>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（2</w:t>
            </w:r>
            <w:r>
              <w:rPr>
                <w:rFonts w:eastAsia="仿宋"/>
                <w:kern w:val="0"/>
                <w:szCs w:val="21"/>
              </w:rPr>
              <w:t>13</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jc w:val="center"/>
              <w:rPr>
                <w:rFonts w:ascii="仿宋" w:hAnsi="仿宋" w:eastAsia="仿宋"/>
                <w:bCs/>
                <w:kern w:val="0"/>
              </w:rPr>
            </w:pPr>
            <w:r>
              <w:rPr>
                <w:rFonts w:hint="eastAsia" w:ascii="仿宋" w:hAnsi="仿宋" w:eastAsia="仿宋"/>
                <w:bCs/>
                <w:kern w:val="0"/>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18</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有专职机构或指定专人负责核材料管制工作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jc w:val="center"/>
              <w:rPr>
                <w:rFonts w:ascii="仿宋" w:hAnsi="仿宋" w:eastAsia="仿宋"/>
                <w:bCs/>
                <w:kern w:val="0"/>
                <w:szCs w:val="21"/>
              </w:rPr>
            </w:pPr>
            <w:r>
              <w:rPr>
                <w:rFonts w:hint="eastAsia" w:ascii="仿宋" w:hAnsi="仿宋" w:eastAsia="仿宋"/>
                <w:bCs/>
                <w:kern w:val="0"/>
                <w:szCs w:val="21"/>
              </w:rPr>
              <w:t>实验室安全与条件保障处</w:t>
            </w:r>
          </w:p>
          <w:p>
            <w:pPr>
              <w:spacing w:line="360" w:lineRule="auto"/>
              <w:jc w:val="center"/>
              <w:rPr>
                <w:rFonts w:eastAsia="仿宋"/>
                <w:bCs/>
                <w:kern w:val="0"/>
                <w:szCs w:val="21"/>
              </w:rPr>
            </w:pPr>
            <w:r>
              <w:rPr>
                <w:rFonts w:hint="eastAsia" w:ascii="仿宋" w:hAnsi="仿宋" w:eastAsia="仿宋"/>
                <w:bCs/>
                <w:kern w:val="0"/>
                <w:szCs w:val="21"/>
              </w:rPr>
              <w:t>各</w:t>
            </w:r>
            <w:r>
              <w:rPr>
                <w:rFonts w:hint="eastAsia"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19</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jc w:val="center"/>
              <w:rPr>
                <w:rFonts w:ascii="仿宋" w:hAnsi="仿宋" w:eastAsia="仿宋"/>
                <w:bCs/>
                <w:kern w:val="0"/>
                <w:szCs w:val="21"/>
              </w:rPr>
            </w:pPr>
            <w:r>
              <w:rPr>
                <w:rFonts w:hint="eastAsia" w:ascii="仿宋" w:hAnsi="仿宋" w:eastAsia="仿宋"/>
                <w:bCs/>
                <w:kern w:val="0"/>
                <w:szCs w:val="21"/>
              </w:rPr>
              <w:t>实验室安全与条件保障处</w:t>
            </w:r>
          </w:p>
          <w:p>
            <w:pPr>
              <w:spacing w:line="360" w:lineRule="auto"/>
              <w:jc w:val="center"/>
              <w:rPr>
                <w:rFonts w:eastAsia="仿宋"/>
                <w:bCs/>
                <w:kern w:val="0"/>
                <w:szCs w:val="21"/>
              </w:rPr>
            </w:pPr>
            <w:r>
              <w:rPr>
                <w:rFonts w:hint="eastAsia" w:ascii="仿宋" w:hAnsi="仿宋" w:eastAsia="仿宋"/>
                <w:bCs/>
                <w:kern w:val="0"/>
                <w:szCs w:val="21"/>
              </w:rPr>
              <w:t>各</w:t>
            </w:r>
            <w:r>
              <w:rPr>
                <w:rFonts w:hint="eastAsia"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21</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jc w:val="center"/>
              <w:rPr>
                <w:rFonts w:ascii="仿宋" w:hAnsi="仿宋" w:eastAsia="仿宋"/>
                <w:bCs/>
                <w:kern w:val="0"/>
                <w:szCs w:val="21"/>
              </w:rPr>
            </w:pPr>
            <w:r>
              <w:rPr>
                <w:rFonts w:hint="eastAsia" w:ascii="仿宋" w:hAnsi="仿宋" w:eastAsia="仿宋"/>
                <w:bCs/>
                <w:kern w:val="0"/>
                <w:szCs w:val="21"/>
              </w:rPr>
              <w:t>实验室安全与条件保障处</w:t>
            </w:r>
          </w:p>
          <w:p>
            <w:pPr>
              <w:spacing w:line="360" w:lineRule="auto"/>
              <w:jc w:val="center"/>
              <w:rPr>
                <w:rFonts w:eastAsia="仿宋"/>
                <w:bCs/>
                <w:kern w:val="0"/>
                <w:szCs w:val="21"/>
              </w:rPr>
            </w:pPr>
            <w:r>
              <w:rPr>
                <w:rFonts w:hint="eastAsia" w:ascii="仿宋" w:hAnsi="仿宋" w:eastAsia="仿宋"/>
                <w:bCs/>
                <w:kern w:val="0"/>
                <w:szCs w:val="21"/>
              </w:rPr>
              <w:t>各</w:t>
            </w:r>
            <w:r>
              <w:rPr>
                <w:rFonts w:hint="eastAsia"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22</w:t>
            </w:r>
            <w:r>
              <w:rPr>
                <w:rFonts w:hint="eastAsia" w:eastAsia="仿宋"/>
                <w:kern w:val="0"/>
                <w:szCs w:val="21"/>
              </w:rPr>
              <w:t>）</w:t>
            </w:r>
            <w:r>
              <w:rPr>
                <w:rFonts w:eastAsia="仿宋"/>
                <w:kern w:val="0"/>
                <w:szCs w:val="21"/>
              </w:rPr>
              <w:t>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放射性物质的转移和运输有学校及公安部门的审批备案材料；</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放射源、放射性物质以及3类以上射线装置储存和使用场所变更应重新开展环境影响评价</w:t>
            </w:r>
          </w:p>
        </w:tc>
        <w:tc>
          <w:tcPr>
            <w:tcW w:w="2543" w:type="dxa"/>
            <w:tcMar>
              <w:left w:w="45" w:type="dxa"/>
              <w:right w:w="45" w:type="dxa"/>
            </w:tcMar>
            <w:vAlign w:val="center"/>
          </w:tcPr>
          <w:p>
            <w:pPr>
              <w:spacing w:line="360" w:lineRule="auto"/>
              <w:jc w:val="center"/>
              <w:rPr>
                <w:rFonts w:ascii="仿宋" w:hAnsi="仿宋" w:eastAsia="仿宋"/>
                <w:bCs/>
                <w:kern w:val="0"/>
                <w:szCs w:val="21"/>
              </w:rPr>
            </w:pPr>
            <w:r>
              <w:rPr>
                <w:rFonts w:hint="eastAsia" w:ascii="仿宋" w:hAnsi="仿宋" w:eastAsia="仿宋"/>
                <w:bCs/>
                <w:kern w:val="0"/>
                <w:szCs w:val="21"/>
              </w:rPr>
              <w:t>实验室安全与条件保障处</w:t>
            </w:r>
          </w:p>
          <w:p>
            <w:pPr>
              <w:widowControl/>
              <w:spacing w:line="300" w:lineRule="exact"/>
              <w:jc w:val="center"/>
              <w:rPr>
                <w:rFonts w:eastAsia="仿宋"/>
                <w:bCs/>
                <w:kern w:val="0"/>
                <w:szCs w:val="21"/>
              </w:rPr>
            </w:pPr>
            <w:r>
              <w:rPr>
                <w:rFonts w:hint="eastAsia" w:ascii="仿宋" w:hAnsi="仿宋" w:eastAsia="仿宋"/>
                <w:bCs/>
                <w:kern w:val="0"/>
                <w:szCs w:val="21"/>
              </w:rPr>
              <w:t>各</w:t>
            </w:r>
            <w:r>
              <w:rPr>
                <w:rFonts w:hint="eastAsia"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重点关注γ辐照、电子加速器、射线探伤仪、非密封性放射性实验操作、5类以上的密封性放射性实验操作；</w:t>
            </w:r>
            <w:bookmarkStart w:id="0"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查看辐射事故应急预案</w:t>
            </w:r>
            <w:bookmarkEnd w:id="0"/>
            <w:r>
              <w:rPr>
                <w:rFonts w:eastAsia="仿宋"/>
                <w:kern w:val="0"/>
                <w:szCs w:val="21"/>
              </w:rPr>
              <w:t>及应急演练记录（每年不少于一次演练）</w:t>
            </w:r>
          </w:p>
        </w:tc>
        <w:tc>
          <w:tcPr>
            <w:tcW w:w="2543" w:type="dxa"/>
            <w:tcMar>
              <w:left w:w="45" w:type="dxa"/>
              <w:right w:w="45" w:type="dxa"/>
            </w:tcMar>
            <w:vAlign w:val="center"/>
          </w:tcPr>
          <w:p>
            <w:pPr>
              <w:widowControl/>
              <w:spacing w:line="300" w:lineRule="exact"/>
              <w:jc w:val="center"/>
              <w:rPr>
                <w:rFonts w:ascii="仿宋" w:hAnsi="仿宋" w:eastAsia="仿宋"/>
                <w:bCs/>
                <w:kern w:val="0"/>
                <w:szCs w:val="21"/>
              </w:rPr>
            </w:pPr>
            <w:r>
              <w:rPr>
                <w:rFonts w:hint="eastAsia" w:ascii="仿宋" w:hAnsi="仿宋"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中、长半衰期核素固液废物有符合国家相关规定的处置方案或回收协议，短半衰期核素固液废弃物放置10个半衰期经检测达标后作为普通</w:t>
            </w:r>
            <w:r>
              <w:rPr>
                <w:rFonts w:hint="eastAsia" w:eastAsia="仿宋"/>
                <w:kern w:val="0"/>
                <w:szCs w:val="21"/>
              </w:rPr>
              <w:t>废</w:t>
            </w:r>
            <w:r>
              <w:rPr>
                <w:rFonts w:eastAsia="仿宋"/>
                <w:kern w:val="0"/>
                <w:szCs w:val="21"/>
              </w:rPr>
              <w:t>物处理，并有处置记录；</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报废含有放射源或可产生放射性的设备，需报学校管理部门同意，并按国家规定进行退役处置</w:t>
            </w:r>
            <w:r>
              <w:rPr>
                <w:rFonts w:hint="eastAsia" w:eastAsia="仿宋"/>
                <w:kern w:val="0"/>
                <w:szCs w:val="21"/>
              </w:rPr>
              <w:t>。</w:t>
            </w:r>
            <w:r>
              <w:rPr>
                <w:rFonts w:eastAsia="仿宋"/>
                <w:bCs/>
                <w:kern w:val="0"/>
                <w:szCs w:val="21"/>
              </w:rPr>
              <w:t>X光管报废时应破坏高压设备，拍照留存；</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29</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spacing w:line="360" w:lineRule="auto"/>
              <w:jc w:val="center"/>
              <w:rPr>
                <w:rFonts w:ascii="仿宋" w:hAnsi="仿宋" w:eastAsia="仿宋"/>
                <w:bCs/>
                <w:kern w:val="0"/>
                <w:szCs w:val="21"/>
              </w:rPr>
            </w:pPr>
            <w:r>
              <w:rPr>
                <w:rFonts w:hint="eastAsia" w:ascii="仿宋" w:hAnsi="仿宋" w:eastAsia="仿宋"/>
                <w:bCs/>
                <w:kern w:val="0"/>
                <w:szCs w:val="21"/>
              </w:rPr>
              <w:t>实验室安全与条件保障处</w:t>
            </w:r>
          </w:p>
          <w:p>
            <w:pPr>
              <w:widowControl/>
              <w:spacing w:line="300" w:lineRule="exact"/>
              <w:jc w:val="center"/>
              <w:rPr>
                <w:rFonts w:eastAsia="仿宋"/>
                <w:bCs/>
                <w:kern w:val="0"/>
                <w:szCs w:val="21"/>
              </w:rPr>
            </w:pPr>
            <w:r>
              <w:rPr>
                <w:rFonts w:hint="eastAsia" w:ascii="仿宋" w:hAnsi="仿宋" w:eastAsia="仿宋"/>
                <w:bCs/>
                <w:kern w:val="0"/>
                <w:szCs w:val="21"/>
              </w:rPr>
              <w:t>各</w:t>
            </w:r>
            <w:r>
              <w:rPr>
                <w:rFonts w:hint="eastAsia"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1" w:name="_Hlk67118907"/>
            <w:r>
              <w:rPr>
                <w:rFonts w:hint="eastAsia" w:eastAsia="仿宋"/>
                <w:kern w:val="0"/>
                <w:szCs w:val="21"/>
              </w:rPr>
              <w:t>（2</w:t>
            </w:r>
            <w:r>
              <w:rPr>
                <w:rFonts w:eastAsia="仿宋"/>
                <w:kern w:val="0"/>
                <w:szCs w:val="21"/>
              </w:rPr>
              <w:t>30</w:t>
            </w:r>
            <w:r>
              <w:rPr>
                <w:rFonts w:hint="eastAsia" w:eastAsia="仿宋"/>
                <w:kern w:val="0"/>
                <w:szCs w:val="21"/>
              </w:rPr>
              <w:t>）</w:t>
            </w:r>
            <w:r>
              <w:rPr>
                <w:rFonts w:eastAsia="仿宋"/>
                <w:kern w:val="0"/>
                <w:szCs w:val="21"/>
              </w:rPr>
              <w:t>相关实验室应当配置专门的放射性废物收集桶；放射性废液送贮前应进行固化整备；</w:t>
            </w:r>
          </w:p>
          <w:p>
            <w:pPr>
              <w:widowControl/>
              <w:spacing w:line="300" w:lineRule="exact"/>
              <w:rPr>
                <w:rFonts w:eastAsia="仿宋"/>
                <w:kern w:val="0"/>
                <w:szCs w:val="21"/>
              </w:rPr>
            </w:pPr>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放射性废物应及时送交城市放</w:t>
            </w:r>
            <w:r>
              <w:rPr>
                <w:rFonts w:hint="eastAsia" w:eastAsia="仿宋"/>
                <w:kern w:val="0"/>
                <w:szCs w:val="21"/>
              </w:rPr>
              <w:t>射性</w:t>
            </w:r>
            <w:r>
              <w:rPr>
                <w:rFonts w:eastAsia="仿宋"/>
                <w:kern w:val="0"/>
                <w:szCs w:val="21"/>
              </w:rPr>
              <w:t>废</w:t>
            </w:r>
            <w:r>
              <w:rPr>
                <w:rFonts w:hint="eastAsia" w:eastAsia="仿宋"/>
                <w:kern w:val="0"/>
                <w:szCs w:val="21"/>
              </w:rPr>
              <w:t>物</w:t>
            </w:r>
            <w:r>
              <w:rPr>
                <w:rFonts w:eastAsia="仿宋"/>
                <w:kern w:val="0"/>
                <w:szCs w:val="21"/>
              </w:rPr>
              <w:t>库收贮；</w:t>
            </w:r>
            <w:bookmarkEnd w:id="1"/>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spacing w:line="360" w:lineRule="auto"/>
              <w:jc w:val="center"/>
              <w:rPr>
                <w:rFonts w:ascii="仿宋" w:hAnsi="仿宋" w:eastAsia="仿宋"/>
                <w:bCs/>
                <w:kern w:val="0"/>
                <w:szCs w:val="21"/>
              </w:rPr>
            </w:pPr>
            <w:r>
              <w:rPr>
                <w:rFonts w:hint="eastAsia" w:ascii="仿宋" w:hAnsi="仿宋" w:eastAsia="仿宋"/>
                <w:bCs/>
                <w:kern w:val="0"/>
                <w:szCs w:val="21"/>
              </w:rPr>
              <w:t>实验室安全与条件保障处</w:t>
            </w:r>
          </w:p>
          <w:p>
            <w:pPr>
              <w:widowControl/>
              <w:spacing w:line="300" w:lineRule="exact"/>
              <w:jc w:val="center"/>
              <w:rPr>
                <w:rFonts w:ascii="仿宋" w:hAnsi="仿宋" w:eastAsia="仿宋"/>
                <w:bCs/>
                <w:kern w:val="0"/>
                <w:szCs w:val="21"/>
              </w:rPr>
            </w:pPr>
            <w:r>
              <w:rPr>
                <w:rFonts w:hint="eastAsia" w:ascii="仿宋" w:hAnsi="仿宋" w:eastAsia="仿宋"/>
                <w:bCs/>
                <w:kern w:val="0"/>
                <w:szCs w:val="21"/>
              </w:rPr>
              <w:t>各</w:t>
            </w:r>
            <w:r>
              <w:rPr>
                <w:rFonts w:hint="eastAsia" w:eastAsia="仿宋"/>
                <w:bCs/>
                <w:kern w:val="0"/>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35</w:t>
            </w:r>
            <w:r>
              <w:rPr>
                <w:rFonts w:hint="eastAsia" w:eastAsia="仿宋"/>
                <w:szCs w:val="21"/>
              </w:rPr>
              <w:t>）</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38</w:t>
            </w:r>
            <w:r>
              <w:rPr>
                <w:rFonts w:hint="eastAsia" w:eastAsia="仿宋"/>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39</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41</w:t>
            </w:r>
            <w:r>
              <w:rPr>
                <w:rFonts w:hint="eastAsia" w:eastAsia="仿宋"/>
                <w:kern w:val="0"/>
              </w:rPr>
              <w:t>）</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42</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43</w:t>
            </w:r>
            <w:r>
              <w:rPr>
                <w:rFonts w:hint="eastAsia" w:eastAsia="仿宋"/>
                <w:kern w:val="0"/>
                <w:szCs w:val="21"/>
              </w:rPr>
              <w:t>）</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 xml:space="preserve">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jc w:val="center"/>
              <w:rPr>
                <w:rFonts w:ascii="仿宋" w:hAnsi="仿宋" w:eastAsia="仿宋"/>
                <w:bCs/>
                <w:kern w:val="0"/>
                <w:szCs w:val="21"/>
              </w:rPr>
            </w:pPr>
            <w:r>
              <w:rPr>
                <w:rFonts w:hint="eastAsia" w:ascii="仿宋" w:hAnsi="仿宋"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52</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53</w:t>
            </w:r>
            <w:r>
              <w:rPr>
                <w:rFonts w:hint="eastAsia" w:eastAsia="仿宋"/>
                <w:kern w:val="0"/>
                <w:szCs w:val="21"/>
              </w:rPr>
              <w:t>）</w:t>
            </w:r>
            <w:r>
              <w:rPr>
                <w:rFonts w:eastAsia="仿宋"/>
                <w:kern w:val="0"/>
                <w:szCs w:val="21"/>
              </w:rPr>
              <w:t>控制室（控制台）应铺橡胶、绝缘垫等；</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w:t>
            </w:r>
            <w:r>
              <w:rPr>
                <w:rFonts w:eastAsia="仿宋"/>
                <w:szCs w:val="21"/>
              </w:rPr>
              <w:t>55</w:t>
            </w:r>
            <w:r>
              <w:rPr>
                <w:rFonts w:hint="eastAsia" w:eastAsia="仿宋"/>
                <w:szCs w:val="21"/>
              </w:rPr>
              <w:t>）</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58</w:t>
            </w:r>
            <w:r>
              <w:rPr>
                <w:rFonts w:hint="eastAsia" w:eastAsia="仿宋"/>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59</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62</w:t>
            </w:r>
            <w:r>
              <w:rPr>
                <w:rFonts w:hint="eastAsia" w:eastAsia="仿宋"/>
                <w:kern w:val="0"/>
                <w:szCs w:val="21"/>
              </w:rPr>
              <w:t>）</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55"/>
              <w:spacing w:line="360" w:lineRule="auto"/>
              <w:ind w:firstLine="0" w:firstLineChars="0"/>
              <w:jc w:val="center"/>
              <w:rPr>
                <w:rFonts w:ascii="Times New Roman" w:hAnsi="Times New Roman" w:eastAsia="仿宋"/>
                <w:bCs/>
                <w:kern w:val="0"/>
              </w:rPr>
            </w:pPr>
            <w:r>
              <w:rPr>
                <w:rFonts w:hint="eastAsia" w:ascii="Times New Roman" w:hAnsi="Times New Roman" w:eastAsia="仿宋"/>
                <w:bCs/>
                <w:kern w:val="0"/>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64</w:t>
            </w:r>
            <w:r>
              <w:rPr>
                <w:rFonts w:hint="eastAsia" w:eastAsia="仿宋"/>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65</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jc w:val="center"/>
              <w:rPr>
                <w:rFonts w:ascii="仿宋" w:hAnsi="仿宋" w:eastAsia="仿宋"/>
                <w:bCs/>
                <w:kern w:val="0"/>
                <w:szCs w:val="21"/>
              </w:rPr>
            </w:pPr>
            <w:r>
              <w:rPr>
                <w:rFonts w:hint="eastAsia" w:ascii="仿宋" w:hAnsi="仿宋"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制定安全操作规程，并在周边醒目位置张贴警示标识，有必要的防护措施；</w:t>
            </w: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w:t>
            </w:r>
            <w:r>
              <w:rPr>
                <w:rFonts w:eastAsia="仿宋"/>
                <w:kern w:val="0"/>
              </w:rPr>
              <w:t>74</w:t>
            </w:r>
            <w:r>
              <w:rPr>
                <w:rFonts w:hint="eastAsia" w:eastAsia="仿宋"/>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27</w:t>
            </w:r>
            <w:r>
              <w:rPr>
                <w:rFonts w:hint="eastAsia" w:eastAsia="仿宋"/>
                <w:kern w:val="0"/>
                <w:szCs w:val="21"/>
              </w:rPr>
              <w:t>5）委托有资质单位进行定期检验，并将定期检验合格证置于特种设备显著位置；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pPr>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77</w:t>
            </w:r>
            <w:r>
              <w:rPr>
                <w:rFonts w:hint="eastAsia" w:eastAsia="仿宋"/>
                <w:kern w:val="0"/>
                <w:szCs w:val="21"/>
              </w:rPr>
              <w:t>）</w:t>
            </w:r>
            <w:r>
              <w:rPr>
                <w:rFonts w:eastAsia="仿宋"/>
                <w:kern w:val="0"/>
                <w:szCs w:val="21"/>
              </w:rPr>
              <w:t>大型实验气罐的存储场所应通风、干燥、防止雨（雪）淋、水浸，避免阳光直射，严禁明火和</w:t>
            </w:r>
            <w:r>
              <w:rPr>
                <w:rFonts w:hint="eastAsia" w:eastAsia="仿宋"/>
                <w:kern w:val="0"/>
                <w:szCs w:val="21"/>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w:t>
            </w:r>
            <w:r>
              <w:rPr>
                <w:rFonts w:eastAsia="仿宋"/>
                <w:kern w:val="0"/>
                <w:szCs w:val="21"/>
              </w:rPr>
              <w:t>78</w:t>
            </w:r>
            <w:r>
              <w:rPr>
                <w:rFonts w:hint="eastAsia" w:eastAsia="仿宋"/>
                <w:kern w:val="0"/>
                <w:szCs w:val="21"/>
              </w:rPr>
              <w:t>）</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79</w:t>
            </w:r>
            <w:r>
              <w:rPr>
                <w:rFonts w:hint="eastAsia" w:eastAsia="仿宋"/>
                <w:kern w:val="0"/>
                <w:szCs w:val="21"/>
              </w:rPr>
              <w:t>）</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80</w:t>
            </w:r>
            <w:r>
              <w:rPr>
                <w:rFonts w:hint="eastAsia" w:eastAsia="仿宋"/>
                <w:kern w:val="0"/>
                <w:szCs w:val="21"/>
              </w:rPr>
              <w:t>）</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w:t>
            </w:r>
            <w:r>
              <w:rPr>
                <w:rFonts w:eastAsia="仿宋"/>
                <w:kern w:val="0"/>
                <w:szCs w:val="21"/>
              </w:rPr>
              <w:t>81</w:t>
            </w:r>
            <w:r>
              <w:rPr>
                <w:rFonts w:hint="eastAsia" w:eastAsia="仿宋"/>
                <w:kern w:val="0"/>
                <w:szCs w:val="21"/>
              </w:rPr>
              <w:t>）</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w:t>
            </w:r>
            <w:r>
              <w:rPr>
                <w:rFonts w:eastAsia="仿宋"/>
                <w:kern w:val="0"/>
                <w:szCs w:val="21"/>
              </w:rPr>
              <w:t>82</w:t>
            </w:r>
            <w:r>
              <w:rPr>
                <w:rFonts w:hint="eastAsia" w:eastAsia="仿宋"/>
                <w:kern w:val="0"/>
                <w:szCs w:val="21"/>
              </w:rPr>
              <w:t>）</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w:t>
            </w:r>
            <w:r>
              <w:rPr>
                <w:rFonts w:eastAsia="仿宋"/>
                <w:kern w:val="0"/>
                <w:szCs w:val="21"/>
              </w:rPr>
              <w:t>83</w:t>
            </w:r>
            <w:r>
              <w:rPr>
                <w:rFonts w:hint="eastAsia" w:eastAsia="仿宋"/>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jc w:val="center"/>
              <w:rPr>
                <w:rFonts w:ascii="仿宋" w:hAnsi="仿宋" w:eastAsia="仿宋"/>
                <w:bCs/>
                <w:kern w:val="0"/>
                <w:szCs w:val="21"/>
              </w:rPr>
            </w:pPr>
            <w:r>
              <w:rPr>
                <w:rFonts w:hint="eastAsia" w:ascii="仿宋" w:hAnsi="仿宋"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jc w:val="center"/>
              <w:rPr>
                <w:rFonts w:eastAsia="仿宋"/>
                <w:bCs/>
                <w:kern w:val="0"/>
                <w:szCs w:val="21"/>
              </w:rPr>
            </w:pPr>
            <w:r>
              <w:rPr>
                <w:rFonts w:hint="eastAsia" w:eastAsia="仿宋"/>
                <w:bCs/>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jc w:val="center"/>
              <w:rPr>
                <w:rFonts w:eastAsia="仿宋"/>
                <w:kern w:val="0"/>
                <w:szCs w:val="21"/>
              </w:rPr>
            </w:pPr>
            <w:r>
              <w:rPr>
                <w:rFonts w:hint="eastAsia" w:eastAsia="仿宋"/>
                <w:kern w:val="0"/>
                <w:szCs w:val="21"/>
              </w:rPr>
              <w:t>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jc w:val="center"/>
              <w:rPr>
                <w:rFonts w:eastAsia="仿宋"/>
                <w:kern w:val="0"/>
                <w:szCs w:val="21"/>
              </w:rPr>
            </w:pPr>
            <w:r>
              <w:rPr>
                <w:rFonts w:hint="eastAsia" w:eastAsia="仿宋"/>
                <w:kern w:val="0"/>
                <w:szCs w:val="21"/>
              </w:rPr>
              <w:t>各实验室</w:t>
            </w:r>
          </w:p>
        </w:tc>
      </w:tr>
    </w:tbl>
    <w:p>
      <w:pPr>
        <w:adjustRightInd w:val="0"/>
        <w:snapToGrid w:val="0"/>
        <w:spacing w:before="156" w:beforeLines="50"/>
        <w:rPr>
          <w:rFonts w:eastAsia="仿宋"/>
        </w:rPr>
      </w:pPr>
      <w:bookmarkStart w:id="2" w:name="_GoBack"/>
      <w:bookmarkEnd w:id="2"/>
    </w:p>
    <w:sectPr>
      <w:footerReference r:id="rId3" w:type="default"/>
      <w:pgSz w:w="16838" w:h="11906" w:orient="landscape"/>
      <w:pgMar w:top="1077" w:right="1418" w:bottom="96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文鼎大标宋简">
    <w:altName w:val="宋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1</w:t>
    </w:r>
    <w: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890"/>
    <w:rsid w:val="00001B5F"/>
    <w:rsid w:val="000034C6"/>
    <w:rsid w:val="000038DB"/>
    <w:rsid w:val="000044B8"/>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32CE"/>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4EBF"/>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2415"/>
    <w:rsid w:val="001938A3"/>
    <w:rsid w:val="00195F30"/>
    <w:rsid w:val="00196097"/>
    <w:rsid w:val="00196EFB"/>
    <w:rsid w:val="00197334"/>
    <w:rsid w:val="001979A5"/>
    <w:rsid w:val="001A086B"/>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2DDF"/>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2C2D"/>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3EC6"/>
    <w:rsid w:val="00274F92"/>
    <w:rsid w:val="00275E3C"/>
    <w:rsid w:val="00275F18"/>
    <w:rsid w:val="00276BD3"/>
    <w:rsid w:val="00276E06"/>
    <w:rsid w:val="00277E3A"/>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1AB6"/>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61B"/>
    <w:rsid w:val="002D5FD7"/>
    <w:rsid w:val="002D76D9"/>
    <w:rsid w:val="002E00FB"/>
    <w:rsid w:val="002E2D3E"/>
    <w:rsid w:val="002E3485"/>
    <w:rsid w:val="002E3E8F"/>
    <w:rsid w:val="002E4C01"/>
    <w:rsid w:val="002E500E"/>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37E8F"/>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B0D"/>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0411"/>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67B70"/>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021"/>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060F"/>
    <w:rsid w:val="005B18DE"/>
    <w:rsid w:val="005B1CCD"/>
    <w:rsid w:val="005B3B9B"/>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34BC"/>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3C70"/>
    <w:rsid w:val="006E59D5"/>
    <w:rsid w:val="006E5BB6"/>
    <w:rsid w:val="006E631D"/>
    <w:rsid w:val="006E6FD6"/>
    <w:rsid w:val="006E7C67"/>
    <w:rsid w:val="006F13CB"/>
    <w:rsid w:val="006F1BDC"/>
    <w:rsid w:val="006F2397"/>
    <w:rsid w:val="006F40F6"/>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11D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35D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BED"/>
    <w:rsid w:val="00802890"/>
    <w:rsid w:val="00803385"/>
    <w:rsid w:val="008038B1"/>
    <w:rsid w:val="00804C61"/>
    <w:rsid w:val="00805530"/>
    <w:rsid w:val="00806DA3"/>
    <w:rsid w:val="00807789"/>
    <w:rsid w:val="00810897"/>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CD3"/>
    <w:rsid w:val="00876F97"/>
    <w:rsid w:val="008810A0"/>
    <w:rsid w:val="008810CC"/>
    <w:rsid w:val="0088184A"/>
    <w:rsid w:val="008821BA"/>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95D"/>
    <w:rsid w:val="008D2BA8"/>
    <w:rsid w:val="008D430C"/>
    <w:rsid w:val="008D4E7E"/>
    <w:rsid w:val="008D4FE7"/>
    <w:rsid w:val="008D674C"/>
    <w:rsid w:val="008D693B"/>
    <w:rsid w:val="008D7182"/>
    <w:rsid w:val="008D7286"/>
    <w:rsid w:val="008E0ED6"/>
    <w:rsid w:val="008E146C"/>
    <w:rsid w:val="008E1B16"/>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2BC2"/>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27E20"/>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3C1"/>
    <w:rsid w:val="00A925D1"/>
    <w:rsid w:val="00A940B7"/>
    <w:rsid w:val="00A95777"/>
    <w:rsid w:val="00A957E4"/>
    <w:rsid w:val="00A95A4E"/>
    <w:rsid w:val="00A95BBD"/>
    <w:rsid w:val="00A96047"/>
    <w:rsid w:val="00A96A32"/>
    <w:rsid w:val="00A97B9D"/>
    <w:rsid w:val="00AA0E67"/>
    <w:rsid w:val="00AA17AC"/>
    <w:rsid w:val="00AA1820"/>
    <w:rsid w:val="00AA1884"/>
    <w:rsid w:val="00AA2D26"/>
    <w:rsid w:val="00AA4087"/>
    <w:rsid w:val="00AA4581"/>
    <w:rsid w:val="00AA78EB"/>
    <w:rsid w:val="00AB2870"/>
    <w:rsid w:val="00AB355A"/>
    <w:rsid w:val="00AB4F23"/>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4B09"/>
    <w:rsid w:val="00B86405"/>
    <w:rsid w:val="00B86A2C"/>
    <w:rsid w:val="00B9087C"/>
    <w:rsid w:val="00B90A29"/>
    <w:rsid w:val="00B93CEB"/>
    <w:rsid w:val="00B945B1"/>
    <w:rsid w:val="00B950E7"/>
    <w:rsid w:val="00B95B92"/>
    <w:rsid w:val="00B95BAD"/>
    <w:rsid w:val="00B97330"/>
    <w:rsid w:val="00B975E1"/>
    <w:rsid w:val="00BA0E42"/>
    <w:rsid w:val="00BA100B"/>
    <w:rsid w:val="00BA13E6"/>
    <w:rsid w:val="00BA1AB1"/>
    <w:rsid w:val="00BA3F40"/>
    <w:rsid w:val="00BA4890"/>
    <w:rsid w:val="00BA5E01"/>
    <w:rsid w:val="00BA5E5A"/>
    <w:rsid w:val="00BA6A35"/>
    <w:rsid w:val="00BB029B"/>
    <w:rsid w:val="00BB0A5B"/>
    <w:rsid w:val="00BB0F7C"/>
    <w:rsid w:val="00BB25B6"/>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4EE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2CB8"/>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550C1"/>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629E"/>
    <w:rsid w:val="00FF7257"/>
    <w:rsid w:val="00FF752A"/>
    <w:rsid w:val="00FF7BD9"/>
    <w:rsid w:val="049623F8"/>
    <w:rsid w:val="05B95F1E"/>
    <w:rsid w:val="086E1568"/>
    <w:rsid w:val="09630209"/>
    <w:rsid w:val="0CEF3A66"/>
    <w:rsid w:val="0CF2711F"/>
    <w:rsid w:val="0D9C70D9"/>
    <w:rsid w:val="0DE7465B"/>
    <w:rsid w:val="0E5D31AA"/>
    <w:rsid w:val="0F3F7BC8"/>
    <w:rsid w:val="0FA51D09"/>
    <w:rsid w:val="10185A7B"/>
    <w:rsid w:val="10B15434"/>
    <w:rsid w:val="12C50C1A"/>
    <w:rsid w:val="15774764"/>
    <w:rsid w:val="17F301A9"/>
    <w:rsid w:val="199A0A0E"/>
    <w:rsid w:val="19EF1374"/>
    <w:rsid w:val="1A95003E"/>
    <w:rsid w:val="1B813CE0"/>
    <w:rsid w:val="1B9D4516"/>
    <w:rsid w:val="200643E5"/>
    <w:rsid w:val="219E2716"/>
    <w:rsid w:val="22624C8B"/>
    <w:rsid w:val="28A02A1B"/>
    <w:rsid w:val="29C4257F"/>
    <w:rsid w:val="2D5C26B0"/>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ocked="1"/>
    <w:lsdException w:uiPriority="0" w:name="List 2"/>
    <w:lsdException w:uiPriority="0" w:name="List 3"/>
    <w:lsdException w:unhideWhenUsed="0" w:uiPriority="0" w:semiHidden="0" w:name="List 4" w:locked="1"/>
    <w:lsdException w:unhideWhenUsed="0" w:uiPriority="0" w:semiHidden="0" w:name="List 5" w:locked="1"/>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widowControl/>
      <w:spacing w:before="100" w:beforeAutospacing="1" w:after="100" w:afterAutospacing="1" w:line="460" w:lineRule="exact"/>
      <w:jc w:val="left"/>
      <w:outlineLvl w:val="1"/>
    </w:pPr>
    <w:rPr>
      <w:rFonts w:ascii="宋体"/>
      <w:b/>
      <w:bCs/>
      <w:kern w:val="0"/>
      <w:sz w:val="36"/>
      <w:szCs w:val="36"/>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pPr>
      <w:spacing w:before="152" w:after="160" w:line="460" w:lineRule="exact"/>
    </w:pPr>
    <w:rPr>
      <w:rFonts w:ascii="Arial" w:hAnsi="Arial" w:eastAsia="黑体"/>
      <w:szCs w:val="20"/>
    </w:rPr>
  </w:style>
  <w:style w:type="paragraph" w:styleId="5">
    <w:name w:val="Document Map"/>
    <w:basedOn w:val="1"/>
    <w:link w:val="51"/>
    <w:semiHidden/>
    <w:qFormat/>
    <w:uiPriority w:val="0"/>
    <w:rPr>
      <w:rFonts w:ascii="宋体"/>
      <w:kern w:val="0"/>
      <w:sz w:val="18"/>
      <w:szCs w:val="18"/>
    </w:rPr>
  </w:style>
  <w:style w:type="paragraph" w:styleId="6">
    <w:name w:val="annotation text"/>
    <w:basedOn w:val="1"/>
    <w:link w:val="45"/>
    <w:qFormat/>
    <w:uiPriority w:val="99"/>
    <w:pPr>
      <w:spacing w:line="460" w:lineRule="exact"/>
      <w:jc w:val="left"/>
    </w:pPr>
    <w:rPr>
      <w:rFonts w:ascii="Calibri" w:hAnsi="Calibri"/>
      <w:szCs w:val="21"/>
    </w:rPr>
  </w:style>
  <w:style w:type="paragraph" w:styleId="7">
    <w:name w:val="Body Text"/>
    <w:basedOn w:val="1"/>
    <w:link w:val="49"/>
    <w:qFormat/>
    <w:uiPriority w:val="0"/>
    <w:pPr>
      <w:spacing w:line="380" w:lineRule="exact"/>
    </w:pPr>
    <w:rPr>
      <w:rFonts w:eastAsia="仿宋_GB2312"/>
      <w:sz w:val="28"/>
      <w:szCs w:val="20"/>
    </w:rPr>
  </w:style>
  <w:style w:type="paragraph" w:styleId="8">
    <w:name w:val="Body Text Indent"/>
    <w:basedOn w:val="1"/>
    <w:link w:val="38"/>
    <w:qFormat/>
    <w:uiPriority w:val="0"/>
    <w:pPr>
      <w:spacing w:line="460" w:lineRule="exact"/>
      <w:ind w:firstLine="630"/>
    </w:pPr>
    <w:rPr>
      <w:rFonts w:ascii="仿宋_GB2312" w:eastAsia="仿宋_GB2312"/>
      <w:sz w:val="32"/>
      <w:szCs w:val="20"/>
    </w:rPr>
  </w:style>
  <w:style w:type="paragraph" w:styleId="9">
    <w:name w:val="Plain Text"/>
    <w:basedOn w:val="1"/>
    <w:link w:val="44"/>
    <w:qFormat/>
    <w:uiPriority w:val="0"/>
    <w:pPr>
      <w:spacing w:line="460" w:lineRule="exact"/>
    </w:pPr>
    <w:rPr>
      <w:rFonts w:ascii="宋体" w:hAnsi="Courier New"/>
      <w:szCs w:val="20"/>
    </w:rPr>
  </w:style>
  <w:style w:type="paragraph" w:styleId="10">
    <w:name w:val="Date"/>
    <w:basedOn w:val="1"/>
    <w:next w:val="1"/>
    <w:link w:val="48"/>
    <w:qFormat/>
    <w:uiPriority w:val="0"/>
    <w:pPr>
      <w:ind w:left="100" w:leftChars="2500"/>
    </w:pPr>
    <w:rPr>
      <w:kern w:val="0"/>
      <w:sz w:val="24"/>
    </w:rPr>
  </w:style>
  <w:style w:type="paragraph" w:styleId="11">
    <w:name w:val="Body Text Indent 2"/>
    <w:basedOn w:val="1"/>
    <w:link w:val="42"/>
    <w:qFormat/>
    <w:uiPriority w:val="0"/>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12">
    <w:name w:val="Balloon Text"/>
    <w:basedOn w:val="1"/>
    <w:link w:val="53"/>
    <w:semiHidden/>
    <w:qFormat/>
    <w:uiPriority w:val="0"/>
    <w:rPr>
      <w:kern w:val="0"/>
      <w:sz w:val="18"/>
      <w:szCs w:val="18"/>
    </w:rPr>
  </w:style>
  <w:style w:type="paragraph" w:styleId="13">
    <w:name w:val="footer"/>
    <w:basedOn w:val="1"/>
    <w:link w:val="50"/>
    <w:qFormat/>
    <w:uiPriority w:val="99"/>
    <w:pPr>
      <w:tabs>
        <w:tab w:val="center" w:pos="4153"/>
        <w:tab w:val="right" w:pos="8306"/>
      </w:tabs>
      <w:snapToGrid w:val="0"/>
      <w:jc w:val="left"/>
    </w:pPr>
    <w:rPr>
      <w:kern w:val="0"/>
      <w:sz w:val="18"/>
      <w:szCs w:val="18"/>
    </w:rPr>
  </w:style>
  <w:style w:type="paragraph" w:styleId="14">
    <w:name w:val="header"/>
    <w:basedOn w:val="1"/>
    <w:link w:val="47"/>
    <w:qFormat/>
    <w:uiPriority w:val="0"/>
    <w:pPr>
      <w:pBdr>
        <w:bottom w:val="single" w:color="auto" w:sz="6" w:space="1"/>
      </w:pBdr>
      <w:tabs>
        <w:tab w:val="center" w:pos="4153"/>
        <w:tab w:val="right" w:pos="8306"/>
      </w:tabs>
      <w:snapToGrid w:val="0"/>
      <w:jc w:val="center"/>
    </w:pPr>
    <w:rPr>
      <w:kern w:val="0"/>
      <w:sz w:val="18"/>
      <w:szCs w:val="18"/>
    </w:rPr>
  </w:style>
  <w:style w:type="paragraph" w:styleId="15">
    <w:name w:val="Body Text Indent 3"/>
    <w:basedOn w:val="1"/>
    <w:link w:val="40"/>
    <w:qFormat/>
    <w:uiPriority w:val="0"/>
    <w:pPr>
      <w:adjustRightInd w:val="0"/>
      <w:snapToGrid w:val="0"/>
      <w:spacing w:line="360" w:lineRule="auto"/>
      <w:ind w:left="75" w:firstLine="345"/>
      <w:outlineLvl w:val="0"/>
    </w:pPr>
    <w:rPr>
      <w:rFonts w:ascii="宋体"/>
      <w:kern w:val="0"/>
      <w:szCs w:val="21"/>
    </w:rPr>
  </w:style>
  <w:style w:type="paragraph" w:styleId="16">
    <w:name w:val="Normal (Web)"/>
    <w:basedOn w:val="1"/>
    <w:qFormat/>
    <w:uiPriority w:val="99"/>
    <w:pPr>
      <w:widowControl/>
      <w:spacing w:before="100" w:beforeAutospacing="1" w:after="100" w:afterAutospacing="1" w:line="460" w:lineRule="exact"/>
      <w:jc w:val="left"/>
    </w:pPr>
    <w:rPr>
      <w:rFonts w:ascii="宋体" w:hAnsi="宋体"/>
      <w:kern w:val="0"/>
      <w:sz w:val="24"/>
    </w:rPr>
  </w:style>
  <w:style w:type="paragraph" w:styleId="17">
    <w:name w:val="annotation subject"/>
    <w:basedOn w:val="6"/>
    <w:next w:val="6"/>
    <w:link w:val="52"/>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locked/>
    <w:uiPriority w:val="22"/>
    <w:rPr>
      <w:b/>
      <w:bCs/>
    </w:rPr>
  </w:style>
  <w:style w:type="character" w:styleId="22">
    <w:name w:val="page number"/>
    <w:qFormat/>
    <w:uiPriority w:val="0"/>
    <w:rPr>
      <w:rFonts w:cs="Times New Roman"/>
    </w:rPr>
  </w:style>
  <w:style w:type="character" w:styleId="23">
    <w:name w:val="FollowedHyperlink"/>
    <w:qFormat/>
    <w:uiPriority w:val="0"/>
    <w:rPr>
      <w:rFonts w:cs="Times New Roman"/>
      <w:color w:val="800080"/>
      <w:u w:val="single"/>
    </w:rPr>
  </w:style>
  <w:style w:type="character" w:styleId="24">
    <w:name w:val="Hyperlink"/>
    <w:qFormat/>
    <w:uiPriority w:val="0"/>
    <w:rPr>
      <w:rFonts w:cs="Times New Roman"/>
      <w:color w:val="1B227E"/>
      <w:u w:val="none"/>
    </w:rPr>
  </w:style>
  <w:style w:type="character" w:styleId="25">
    <w:name w:val="annotation reference"/>
    <w:semiHidden/>
    <w:qFormat/>
    <w:uiPriority w:val="99"/>
    <w:rPr>
      <w:rFonts w:cs="Times New Roman"/>
      <w:sz w:val="21"/>
      <w:szCs w:val="21"/>
    </w:rPr>
  </w:style>
  <w:style w:type="character" w:styleId="26">
    <w:name w:val="footnote reference"/>
    <w:semiHidden/>
    <w:qFormat/>
    <w:uiPriority w:val="0"/>
    <w:rPr>
      <w:rFonts w:cs="Times New Roman"/>
      <w:vertAlign w:val="superscript"/>
    </w:rPr>
  </w:style>
  <w:style w:type="paragraph" w:customStyle="1" w:styleId="27">
    <w:name w:val="大标题"/>
    <w:basedOn w:val="1"/>
    <w:qFormat/>
    <w:uiPriority w:val="0"/>
    <w:pPr>
      <w:adjustRightInd w:val="0"/>
      <w:spacing w:before="2840" w:line="320" w:lineRule="atLeast"/>
      <w:jc w:val="center"/>
      <w:textAlignment w:val="bottom"/>
    </w:pPr>
    <w:rPr>
      <w:rFonts w:eastAsia="文鼎大标宋简"/>
      <w:kern w:val="0"/>
      <w:sz w:val="36"/>
      <w:szCs w:val="20"/>
    </w:rPr>
  </w:style>
  <w:style w:type="paragraph" w:customStyle="1" w:styleId="28">
    <w:name w:val="ordinary-output"/>
    <w:basedOn w:val="1"/>
    <w:qFormat/>
    <w:uiPriority w:val="0"/>
    <w:pPr>
      <w:widowControl/>
      <w:spacing w:before="100" w:beforeAutospacing="1" w:after="75" w:line="330" w:lineRule="atLeast"/>
      <w:jc w:val="left"/>
    </w:pPr>
    <w:rPr>
      <w:rFonts w:ascii="宋体" w:hAnsi="宋体" w:cs="宋体"/>
      <w:color w:val="333333"/>
      <w:kern w:val="0"/>
      <w:sz w:val="27"/>
      <w:szCs w:val="27"/>
    </w:rPr>
  </w:style>
  <w:style w:type="paragraph" w:customStyle="1" w:styleId="29">
    <w:name w:val="修订1"/>
    <w:qFormat/>
    <w:uiPriority w:val="0"/>
    <w:rPr>
      <w:rFonts w:ascii="Times New Roman" w:hAnsi="Times New Roman" w:eastAsia="宋体" w:cs="Times New Roman"/>
      <w:kern w:val="2"/>
      <w:sz w:val="21"/>
      <w:szCs w:val="24"/>
      <w:lang w:val="en-US" w:eastAsia="zh-CN" w:bidi="ar-SA"/>
    </w:rPr>
  </w:style>
  <w:style w:type="paragraph" w:customStyle="1" w:styleId="30">
    <w:name w:val="reader-word-layer reader-word-s19-13"/>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1">
    <w:name w:val="reader-word-layer reader-word-s19-5"/>
    <w:basedOn w:val="1"/>
    <w:qFormat/>
    <w:uiPriority w:val="0"/>
    <w:pPr>
      <w:widowControl/>
      <w:spacing w:before="100" w:beforeAutospacing="1" w:after="100" w:afterAutospacing="1" w:line="460" w:lineRule="exact"/>
      <w:jc w:val="left"/>
    </w:pPr>
    <w:rPr>
      <w:rFonts w:ascii="宋体" w:hAnsi="宋体" w:cs="宋体"/>
      <w:kern w:val="0"/>
      <w:sz w:val="24"/>
    </w:rPr>
  </w:style>
  <w:style w:type="paragraph" w:customStyle="1" w:styleId="3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33">
    <w:name w:val="函号"/>
    <w:basedOn w:val="1"/>
    <w:qFormat/>
    <w:uiPriority w:val="0"/>
    <w:pPr>
      <w:adjustRightInd w:val="0"/>
      <w:spacing w:line="440" w:lineRule="atLeast"/>
      <w:jc w:val="right"/>
      <w:textAlignment w:val="bottom"/>
    </w:pPr>
    <w:rPr>
      <w:rFonts w:eastAsia="仿宋_GB2312"/>
      <w:kern w:val="0"/>
      <w:sz w:val="28"/>
      <w:szCs w:val="20"/>
    </w:rPr>
  </w:style>
  <w:style w:type="paragraph" w:customStyle="1" w:styleId="34">
    <w:name w:val="列出段落1"/>
    <w:basedOn w:val="1"/>
    <w:qFormat/>
    <w:uiPriority w:val="0"/>
    <w:pPr>
      <w:ind w:firstLine="420" w:firstLineChars="200"/>
    </w:pPr>
  </w:style>
  <w:style w:type="paragraph" w:customStyle="1" w:styleId="35">
    <w:name w:val="文号"/>
    <w:basedOn w:val="1"/>
    <w:qFormat/>
    <w:uiPriority w:val="0"/>
    <w:pPr>
      <w:adjustRightInd w:val="0"/>
      <w:spacing w:before="2550" w:line="360" w:lineRule="atLeast"/>
      <w:jc w:val="center"/>
      <w:textAlignment w:val="baseline"/>
    </w:pPr>
    <w:rPr>
      <w:rFonts w:eastAsia="仿宋_GB2312"/>
      <w:kern w:val="0"/>
      <w:sz w:val="28"/>
      <w:szCs w:val="20"/>
    </w:rPr>
  </w:style>
  <w:style w:type="paragraph" w:customStyle="1" w:styleId="36">
    <w:name w:val="主题词"/>
    <w:basedOn w:val="1"/>
    <w:qFormat/>
    <w:uiPriority w:val="0"/>
    <w:pPr>
      <w:adjustRightInd w:val="0"/>
      <w:spacing w:line="440" w:lineRule="atLeast"/>
      <w:jc w:val="left"/>
      <w:textAlignment w:val="bottom"/>
    </w:pPr>
    <w:rPr>
      <w:rFonts w:eastAsia="黑体"/>
      <w:kern w:val="0"/>
      <w:sz w:val="28"/>
      <w:szCs w:val="20"/>
    </w:rPr>
  </w:style>
  <w:style w:type="character" w:customStyle="1" w:styleId="37">
    <w:name w:val="标题 1 Char"/>
    <w:link w:val="2"/>
    <w:qFormat/>
    <w:locked/>
    <w:uiPriority w:val="0"/>
    <w:rPr>
      <w:rFonts w:cs="Times New Roman"/>
      <w:b/>
      <w:bCs/>
      <w:kern w:val="44"/>
      <w:sz w:val="44"/>
      <w:szCs w:val="44"/>
    </w:rPr>
  </w:style>
  <w:style w:type="character" w:customStyle="1" w:styleId="38">
    <w:name w:val="正文文本缩进 Char"/>
    <w:link w:val="8"/>
    <w:qFormat/>
    <w:locked/>
    <w:uiPriority w:val="0"/>
    <w:rPr>
      <w:rFonts w:ascii="仿宋_GB2312" w:eastAsia="仿宋_GB2312" w:cs="Times New Roman"/>
      <w:kern w:val="2"/>
      <w:sz w:val="32"/>
    </w:rPr>
  </w:style>
  <w:style w:type="character" w:customStyle="1" w:styleId="39">
    <w:name w:val="标题 2 Char"/>
    <w:link w:val="3"/>
    <w:qFormat/>
    <w:locked/>
    <w:uiPriority w:val="0"/>
    <w:rPr>
      <w:rFonts w:ascii="宋体" w:eastAsia="宋体" w:cs="Times New Roman"/>
      <w:b/>
      <w:bCs/>
      <w:sz w:val="36"/>
      <w:szCs w:val="36"/>
    </w:rPr>
  </w:style>
  <w:style w:type="character" w:customStyle="1" w:styleId="40">
    <w:name w:val="正文文本缩进 3 Char"/>
    <w:link w:val="15"/>
    <w:qFormat/>
    <w:locked/>
    <w:uiPriority w:val="0"/>
    <w:rPr>
      <w:rFonts w:ascii="宋体" w:eastAsia="宋体" w:cs="Times New Roman"/>
      <w:sz w:val="21"/>
      <w:szCs w:val="21"/>
    </w:rPr>
  </w:style>
  <w:style w:type="character" w:customStyle="1" w:styleId="41">
    <w:name w:val="edited2"/>
    <w:qFormat/>
    <w:uiPriority w:val="0"/>
    <w:rPr>
      <w:rFonts w:cs="Times New Roman"/>
    </w:rPr>
  </w:style>
  <w:style w:type="character" w:customStyle="1" w:styleId="42">
    <w:name w:val="正文文本缩进 2 Char"/>
    <w:link w:val="11"/>
    <w:qFormat/>
    <w:locked/>
    <w:uiPriority w:val="0"/>
    <w:rPr>
      <w:rFonts w:ascii="仿宋_GB2312" w:eastAsia="仿宋_GB2312" w:cs="Times New Roman"/>
      <w:sz w:val="28"/>
    </w:rPr>
  </w:style>
  <w:style w:type="character" w:customStyle="1" w:styleId="43">
    <w:name w:val="high-light-bg4"/>
    <w:qFormat/>
    <w:uiPriority w:val="0"/>
    <w:rPr>
      <w:rFonts w:cs="Times New Roman"/>
    </w:rPr>
  </w:style>
  <w:style w:type="character" w:customStyle="1" w:styleId="44">
    <w:name w:val="纯文本 Char"/>
    <w:link w:val="9"/>
    <w:qFormat/>
    <w:locked/>
    <w:uiPriority w:val="0"/>
    <w:rPr>
      <w:rFonts w:ascii="宋体" w:hAnsi="Courier New" w:cs="Times New Roman"/>
      <w:kern w:val="2"/>
      <w:sz w:val="21"/>
    </w:rPr>
  </w:style>
  <w:style w:type="character" w:customStyle="1" w:styleId="45">
    <w:name w:val="批注文字 Char"/>
    <w:link w:val="6"/>
    <w:qFormat/>
    <w:locked/>
    <w:uiPriority w:val="99"/>
    <w:rPr>
      <w:rFonts w:ascii="Calibri" w:hAnsi="Calibri" w:cs="Calibri"/>
      <w:kern w:val="2"/>
      <w:sz w:val="21"/>
      <w:szCs w:val="21"/>
    </w:rPr>
  </w:style>
  <w:style w:type="character" w:customStyle="1" w:styleId="46">
    <w:name w:val="unnamed2"/>
    <w:qFormat/>
    <w:uiPriority w:val="0"/>
    <w:rPr>
      <w:rFonts w:cs="Times New Roman"/>
    </w:rPr>
  </w:style>
  <w:style w:type="character" w:customStyle="1" w:styleId="47">
    <w:name w:val="页眉 Char"/>
    <w:link w:val="14"/>
    <w:qFormat/>
    <w:locked/>
    <w:uiPriority w:val="0"/>
    <w:rPr>
      <w:rFonts w:cs="Times New Roman"/>
      <w:sz w:val="18"/>
      <w:szCs w:val="18"/>
    </w:rPr>
  </w:style>
  <w:style w:type="character" w:customStyle="1" w:styleId="48">
    <w:name w:val="日期 Char"/>
    <w:link w:val="10"/>
    <w:qFormat/>
    <w:locked/>
    <w:uiPriority w:val="0"/>
    <w:rPr>
      <w:rFonts w:cs="Times New Roman"/>
      <w:sz w:val="24"/>
      <w:szCs w:val="24"/>
    </w:rPr>
  </w:style>
  <w:style w:type="character" w:customStyle="1" w:styleId="49">
    <w:name w:val="正文文本 Char"/>
    <w:link w:val="7"/>
    <w:qFormat/>
    <w:locked/>
    <w:uiPriority w:val="0"/>
    <w:rPr>
      <w:rFonts w:eastAsia="仿宋_GB2312" w:cs="Times New Roman"/>
      <w:kern w:val="2"/>
      <w:sz w:val="28"/>
    </w:rPr>
  </w:style>
  <w:style w:type="character" w:customStyle="1" w:styleId="50">
    <w:name w:val="页脚 Char"/>
    <w:link w:val="13"/>
    <w:qFormat/>
    <w:locked/>
    <w:uiPriority w:val="99"/>
    <w:rPr>
      <w:rFonts w:cs="Times New Roman"/>
      <w:sz w:val="18"/>
      <w:szCs w:val="18"/>
    </w:rPr>
  </w:style>
  <w:style w:type="character" w:customStyle="1" w:styleId="51">
    <w:name w:val="文档结构图 Char"/>
    <w:link w:val="5"/>
    <w:qFormat/>
    <w:locked/>
    <w:uiPriority w:val="0"/>
    <w:rPr>
      <w:rFonts w:ascii="宋体" w:cs="Times New Roman"/>
      <w:sz w:val="18"/>
      <w:szCs w:val="18"/>
    </w:rPr>
  </w:style>
  <w:style w:type="character" w:customStyle="1" w:styleId="52">
    <w:name w:val="批注主题 Char"/>
    <w:link w:val="17"/>
    <w:semiHidden/>
    <w:qFormat/>
    <w:locked/>
    <w:uiPriority w:val="0"/>
    <w:rPr>
      <w:rFonts w:ascii="Calibri" w:hAnsi="Calibri" w:cs="Calibri"/>
      <w:b/>
      <w:bCs/>
      <w:kern w:val="2"/>
      <w:sz w:val="21"/>
      <w:szCs w:val="21"/>
    </w:rPr>
  </w:style>
  <w:style w:type="character" w:customStyle="1" w:styleId="53">
    <w:name w:val="批注框文本 Char"/>
    <w:link w:val="12"/>
    <w:qFormat/>
    <w:locked/>
    <w:uiPriority w:val="0"/>
    <w:rPr>
      <w:rFonts w:cs="Times New Roman"/>
      <w:sz w:val="18"/>
      <w:szCs w:val="18"/>
    </w:rPr>
  </w:style>
  <w:style w:type="paragraph" w:customStyle="1" w:styleId="5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5">
    <w:name w:val="列出段落2"/>
    <w:basedOn w:val="1"/>
    <w:qFormat/>
    <w:uiPriority w:val="0"/>
    <w:pPr>
      <w:ind w:firstLine="420" w:firstLineChars="200"/>
    </w:pPr>
    <w:rPr>
      <w:rFonts w:ascii="等线" w:hAnsi="等线" w:eastAsia="等线"/>
      <w:szCs w:val="21"/>
    </w:rPr>
  </w:style>
  <w:style w:type="paragraph" w:styleId="5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57">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58">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59">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60">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61">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62">
    <w:name w:val="fontstyle01"/>
    <w:basedOn w:val="20"/>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CDECCF-4F9A-477B-AA97-51A73925F4F9}">
  <ds:schemaRefs/>
</ds:datastoreItem>
</file>

<file path=docProps/app.xml><?xml version="1.0" encoding="utf-8"?>
<Properties xmlns="http://schemas.openxmlformats.org/officeDocument/2006/extended-properties" xmlns:vt="http://schemas.openxmlformats.org/officeDocument/2006/docPropsVTypes">
  <Template>Normal.dotm</Template>
  <Company>sdu</Company>
  <Pages>22</Pages>
  <Words>17424</Words>
  <Characters>18972</Characters>
  <Lines>1766</Lines>
  <Paragraphs>875</Paragraphs>
  <TotalTime>287</TotalTime>
  <ScaleCrop>false</ScaleCrop>
  <LinksUpToDate>false</LinksUpToDate>
  <CharactersWithSpaces>18998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2022-03-02T03:26:00Z</dcterms:created>
  <dc:creator>LIU</dc:creator>
  <cp:lastModifiedBy>tcguobing@126.com</cp:lastModifiedBy>
  <cp:lastPrinted>2022-03-30T06:40:00Z</cp:lastPrinted>
  <dcterms:modified xsi:type="dcterms:W3CDTF">2022-04-02T01:53:48Z</dcterms:modified>
  <dc:title>*</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B43CED5EFB7D4D299995FE7045CB6B43</vt:lpwstr>
  </property>
</Properties>
</file>